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68" w:rsidRDefault="002117D2" w:rsidP="00D60368">
      <w:pPr>
        <w:jc w:val="center"/>
        <w:rPr>
          <w:b/>
          <w:sz w:val="28"/>
        </w:rPr>
      </w:pPr>
      <w:r w:rsidRPr="00B5190E">
        <w:rPr>
          <w:b/>
          <w:sz w:val="28"/>
        </w:rPr>
        <w:t>Обґрунтування технічних та якісних</w:t>
      </w:r>
    </w:p>
    <w:p w:rsidR="002117D2" w:rsidRPr="00B5190E" w:rsidRDefault="002117D2" w:rsidP="00D60368">
      <w:pPr>
        <w:jc w:val="center"/>
        <w:rPr>
          <w:b/>
          <w:caps/>
          <w:sz w:val="28"/>
        </w:rPr>
      </w:pPr>
      <w:r w:rsidRPr="00B5190E">
        <w:rPr>
          <w:b/>
          <w:sz w:val="28"/>
        </w:rPr>
        <w:t>характеристик предмета закупівлі</w:t>
      </w:r>
    </w:p>
    <w:p w:rsidR="002117D2" w:rsidRPr="00D60368" w:rsidRDefault="00D60368" w:rsidP="00D60368">
      <w:pPr>
        <w:widowControl w:val="0"/>
        <w:autoSpaceDE w:val="0"/>
        <w:autoSpaceDN w:val="0"/>
        <w:adjustRightInd w:val="0"/>
        <w:jc w:val="center"/>
        <w:rPr>
          <w:b/>
          <w:caps/>
          <w:lang w:val="ru-RU"/>
        </w:rPr>
      </w:pPr>
      <w:r>
        <w:rPr>
          <w:b/>
          <w:sz w:val="28"/>
        </w:rPr>
        <w:t>К</w:t>
      </w:r>
      <w:r w:rsidR="002117D2" w:rsidRPr="00B5190E">
        <w:rPr>
          <w:b/>
          <w:sz w:val="28"/>
        </w:rPr>
        <w:t xml:space="preserve">од </w:t>
      </w:r>
      <w:r w:rsidR="002117D2" w:rsidRPr="00B5190E">
        <w:rPr>
          <w:b/>
          <w:caps/>
          <w:sz w:val="28"/>
        </w:rPr>
        <w:t xml:space="preserve">ДК 021:2015 – 19520000-7, </w:t>
      </w:r>
      <w:r>
        <w:rPr>
          <w:b/>
          <w:sz w:val="28"/>
        </w:rPr>
        <w:t>Пластмасові вироби (В</w:t>
      </w:r>
      <w:r w:rsidRPr="00D60368">
        <w:rPr>
          <w:b/>
          <w:sz w:val="28"/>
        </w:rPr>
        <w:t>итратні матеріали для молек</w:t>
      </w:r>
      <w:bookmarkStart w:id="0" w:name="_GoBack"/>
      <w:bookmarkEnd w:id="0"/>
      <w:r w:rsidRPr="00D60368">
        <w:rPr>
          <w:b/>
          <w:sz w:val="28"/>
        </w:rPr>
        <w:t>улярно-генетичних досліджень)</w:t>
      </w:r>
    </w:p>
    <w:p w:rsidR="00D60368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68" w:rsidRPr="008453F5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0368">
        <w:rPr>
          <w:rFonts w:ascii="Times New Roman" w:hAnsi="Times New Roman" w:cs="Times New Roman"/>
          <w:b/>
          <w:sz w:val="28"/>
          <w:szCs w:val="28"/>
          <w:lang w:val="uk-UA"/>
        </w:rPr>
        <w:t>UA-2021-04-26-006713-c</w:t>
      </w:r>
      <w:r w:rsidRPr="008453F5">
        <w:rPr>
          <w:rFonts w:ascii="Times New Roman" w:hAnsi="Times New Roman" w:cs="Times New Roman"/>
          <w:b/>
          <w:sz w:val="28"/>
          <w:szCs w:val="28"/>
        </w:rPr>
        <w:t>)</w:t>
      </w:r>
    </w:p>
    <w:p w:rsidR="00D60368" w:rsidRDefault="00D60368" w:rsidP="00D6036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117D2" w:rsidRDefault="002117D2" w:rsidP="002117D2">
      <w:pPr>
        <w:widowControl w:val="0"/>
        <w:autoSpaceDE w:val="0"/>
        <w:autoSpaceDN w:val="0"/>
        <w:adjustRightInd w:val="0"/>
      </w:pPr>
      <w: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2117D2" w:rsidRPr="00D60368" w:rsidRDefault="002117D2" w:rsidP="002117D2">
      <w:pPr>
        <w:widowControl w:val="0"/>
        <w:autoSpaceDE w:val="0"/>
        <w:autoSpaceDN w:val="0"/>
        <w:adjustRightInd w:val="0"/>
        <w:jc w:val="both"/>
        <w:rPr>
          <w:b/>
          <w:bCs/>
          <w:caps/>
        </w:rPr>
      </w:pPr>
      <w:r w:rsidRPr="00D60368">
        <w:rPr>
          <w:rFonts w:eastAsia="SimSun"/>
          <w:b/>
          <w:spacing w:val="-1"/>
          <w:lang w:eastAsia="en-US"/>
        </w:rPr>
        <w:t>1. Колонка</w:t>
      </w:r>
      <w:r w:rsidRPr="00D60368">
        <w:rPr>
          <w:rFonts w:eastAsia="SimSun"/>
          <w:b/>
          <w:spacing w:val="15"/>
          <w:lang w:eastAsia="en-US"/>
        </w:rPr>
        <w:t xml:space="preserve"> </w:t>
      </w:r>
      <w:r w:rsidRPr="00D60368">
        <w:rPr>
          <w:rFonts w:eastAsia="SimSun"/>
          <w:b/>
          <w:spacing w:val="-1"/>
          <w:lang w:eastAsia="en-US"/>
        </w:rPr>
        <w:t>фільтраційна</w:t>
      </w:r>
      <w:r w:rsidRPr="00D60368">
        <w:rPr>
          <w:rFonts w:eastAsia="SimSun"/>
          <w:b/>
          <w:spacing w:val="12"/>
          <w:lang w:eastAsia="en-US"/>
        </w:rPr>
        <w:t xml:space="preserve"> </w:t>
      </w:r>
      <w:r w:rsidRPr="00D60368">
        <w:rPr>
          <w:rFonts w:eastAsia="SimSun"/>
          <w:b/>
          <w:spacing w:val="-1"/>
          <w:lang w:eastAsia="en-US"/>
        </w:rPr>
        <w:t>AMICON</w:t>
      </w:r>
      <w:r w:rsidRPr="00D60368">
        <w:rPr>
          <w:rFonts w:eastAsia="SimSun"/>
          <w:b/>
          <w:spacing w:val="13"/>
          <w:lang w:eastAsia="en-US"/>
        </w:rPr>
        <w:t xml:space="preserve"> </w:t>
      </w:r>
      <w:r w:rsidRPr="00D60368">
        <w:rPr>
          <w:rFonts w:eastAsia="SimSun"/>
          <w:b/>
          <w:spacing w:val="-1"/>
          <w:lang w:eastAsia="en-US"/>
        </w:rPr>
        <w:t>ULTRA</w:t>
      </w:r>
      <w:r w:rsidRPr="00D60368">
        <w:rPr>
          <w:rFonts w:eastAsia="SimSun"/>
          <w:b/>
          <w:spacing w:val="13"/>
          <w:lang w:eastAsia="en-US"/>
        </w:rPr>
        <w:t xml:space="preserve"> </w:t>
      </w:r>
      <w:r w:rsidRPr="00D60368">
        <w:rPr>
          <w:rFonts w:eastAsia="SimSun"/>
          <w:b/>
          <w:spacing w:val="-1"/>
          <w:lang w:eastAsia="en-US"/>
        </w:rPr>
        <w:t>або</w:t>
      </w:r>
      <w:r w:rsidRPr="00D60368">
        <w:rPr>
          <w:rFonts w:eastAsia="SimSun"/>
          <w:b/>
          <w:spacing w:val="10"/>
          <w:lang w:eastAsia="en-US"/>
        </w:rPr>
        <w:t xml:space="preserve"> </w:t>
      </w:r>
      <w:r w:rsidRPr="00D60368">
        <w:rPr>
          <w:rFonts w:eastAsia="SimSun"/>
          <w:b/>
          <w:spacing w:val="-1"/>
          <w:lang w:eastAsia="en-US"/>
        </w:rPr>
        <w:t>еквівалент</w:t>
      </w:r>
      <w:r w:rsidRPr="00D60368">
        <w:rPr>
          <w:b/>
          <w:bCs/>
          <w:spacing w:val="-2"/>
          <w:lang w:eastAsia="en-US"/>
        </w:rPr>
        <w:t xml:space="preserve"> – 30</w:t>
      </w:r>
      <w:r w:rsidRPr="00D60368">
        <w:rPr>
          <w:rFonts w:eastAsia="SimSun"/>
          <w:b/>
          <w:spacing w:val="9"/>
          <w:lang w:eastAsia="en-US"/>
        </w:rPr>
        <w:t xml:space="preserve"> </w:t>
      </w:r>
      <w:proofErr w:type="spellStart"/>
      <w:r w:rsidRPr="00D60368">
        <w:rPr>
          <w:rFonts w:eastAsia="SimSun"/>
          <w:b/>
          <w:spacing w:val="-1"/>
          <w:lang w:eastAsia="en-US"/>
        </w:rPr>
        <w:t>уп</w:t>
      </w:r>
      <w:proofErr w:type="spellEnd"/>
      <w:r w:rsidRPr="00D60368">
        <w:rPr>
          <w:rFonts w:eastAsia="SimSun"/>
          <w:b/>
          <w:spacing w:val="-1"/>
          <w:lang w:eastAsia="en-US"/>
        </w:rPr>
        <w:t>.</w:t>
      </w:r>
    </w:p>
    <w:tbl>
      <w:tblPr>
        <w:tblW w:w="9352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609"/>
      </w:tblGrid>
      <w:tr w:rsidR="002117D2" w:rsidRPr="00D60368" w:rsidTr="002117D2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D60368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Технічні (якісні)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характеристики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2117D2" w:rsidRPr="00D60368" w:rsidTr="002117D2">
        <w:trPr>
          <w:trHeight w:val="237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lang w:val="en-US"/>
              </w:rPr>
            </w:pPr>
            <w:r w:rsidRPr="00D60368">
              <w:rPr>
                <w:rFonts w:eastAsia="Calibri"/>
                <w:spacing w:val="-1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spacing w:val="-1"/>
              </w:rPr>
              <w:t>Призначені</w:t>
            </w:r>
            <w:r w:rsidRPr="00D60368">
              <w:rPr>
                <w:spacing w:val="13"/>
              </w:rPr>
              <w:t xml:space="preserve"> </w:t>
            </w:r>
            <w:r w:rsidRPr="00D60368">
              <w:rPr>
                <w:spacing w:val="-1"/>
              </w:rPr>
              <w:t>для</w:t>
            </w:r>
            <w:r w:rsidRPr="00D60368">
              <w:rPr>
                <w:spacing w:val="14"/>
              </w:rPr>
              <w:t xml:space="preserve"> </w:t>
            </w:r>
            <w:r w:rsidRPr="00D60368">
              <w:rPr>
                <w:spacing w:val="-1"/>
              </w:rPr>
              <w:t>концентрації</w:t>
            </w:r>
            <w:r w:rsidRPr="00D60368">
              <w:rPr>
                <w:spacing w:val="11"/>
              </w:rPr>
              <w:t xml:space="preserve"> </w:t>
            </w:r>
            <w:r w:rsidRPr="00D60368">
              <w:rPr>
                <w:spacing w:val="-1"/>
              </w:rPr>
              <w:t>або</w:t>
            </w:r>
            <w:r w:rsidRPr="00D60368">
              <w:rPr>
                <w:spacing w:val="10"/>
              </w:rPr>
              <w:t xml:space="preserve"> </w:t>
            </w:r>
            <w:r w:rsidRPr="00D60368">
              <w:rPr>
                <w:spacing w:val="-1"/>
              </w:rPr>
              <w:t>фільтрування</w:t>
            </w:r>
            <w:r w:rsidRPr="00D60368">
              <w:rPr>
                <w:spacing w:val="33"/>
                <w:w w:val="101"/>
              </w:rPr>
              <w:t xml:space="preserve"> </w:t>
            </w:r>
            <w:r w:rsidRPr="00D60368">
              <w:rPr>
                <w:spacing w:val="-1"/>
              </w:rPr>
              <w:t>білків</w:t>
            </w:r>
            <w:r w:rsidRPr="00D60368">
              <w:rPr>
                <w:spacing w:val="8"/>
              </w:rPr>
              <w:t xml:space="preserve"> </w:t>
            </w:r>
            <w:r w:rsidRPr="00D60368">
              <w:t>масою</w:t>
            </w:r>
            <w:r w:rsidRPr="00D60368">
              <w:rPr>
                <w:spacing w:val="7"/>
              </w:rPr>
              <w:t xml:space="preserve"> </w:t>
            </w:r>
            <w:r w:rsidRPr="00D60368">
              <w:rPr>
                <w:spacing w:val="1"/>
              </w:rPr>
              <w:t>не</w:t>
            </w:r>
            <w:r w:rsidRPr="00D60368">
              <w:rPr>
                <w:spacing w:val="11"/>
              </w:rPr>
              <w:t xml:space="preserve"> </w:t>
            </w:r>
            <w:r w:rsidRPr="00D60368">
              <w:rPr>
                <w:spacing w:val="-1"/>
              </w:rPr>
              <w:t>більше</w:t>
            </w:r>
            <w:r w:rsidRPr="00D60368">
              <w:rPr>
                <w:spacing w:val="14"/>
              </w:rPr>
              <w:t xml:space="preserve"> </w:t>
            </w:r>
            <w:r w:rsidRPr="00D60368">
              <w:rPr>
                <w:spacing w:val="-1"/>
              </w:rPr>
              <w:t>100,000MWCO</w:t>
            </w:r>
            <w:r w:rsidRPr="00D60368">
              <w:rPr>
                <w:rFonts w:eastAsia="Calibri"/>
                <w:lang w:val="ru-RU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Комплект</w:t>
            </w:r>
            <w:r w:rsidRPr="00D60368">
              <w:rPr>
                <w:spacing w:val="6"/>
              </w:rPr>
              <w:t xml:space="preserve"> </w:t>
            </w:r>
            <w:r w:rsidRPr="00D60368">
              <w:t>має</w:t>
            </w:r>
            <w:r w:rsidRPr="00D60368">
              <w:rPr>
                <w:spacing w:val="9"/>
              </w:rPr>
              <w:t xml:space="preserve"> </w:t>
            </w:r>
            <w:r w:rsidRPr="00D60368">
              <w:t>включати</w:t>
            </w:r>
            <w:r w:rsidRPr="00D60368">
              <w:rPr>
                <w:spacing w:val="7"/>
              </w:rPr>
              <w:t xml:space="preserve"> </w:t>
            </w:r>
            <w:r w:rsidRPr="00D60368">
              <w:rPr>
                <w:spacing w:val="-1"/>
              </w:rPr>
              <w:t>спеціальні</w:t>
            </w:r>
            <w:r w:rsidRPr="00D60368">
              <w:rPr>
                <w:spacing w:val="12"/>
              </w:rPr>
              <w:t xml:space="preserve"> </w:t>
            </w:r>
            <w:r w:rsidRPr="00D60368">
              <w:rPr>
                <w:spacing w:val="-1"/>
              </w:rPr>
              <w:t>пробірки</w:t>
            </w:r>
            <w:r w:rsidRPr="00D60368">
              <w:rPr>
                <w:spacing w:val="7"/>
              </w:rPr>
              <w:t xml:space="preserve"> </w:t>
            </w:r>
            <w:r w:rsidRPr="00D60368">
              <w:t>та</w:t>
            </w:r>
            <w:r w:rsidRPr="00D60368">
              <w:rPr>
                <w:spacing w:val="29"/>
                <w:w w:val="101"/>
              </w:rPr>
              <w:t xml:space="preserve"> </w:t>
            </w:r>
            <w:proofErr w:type="spellStart"/>
            <w:r w:rsidRPr="00D60368">
              <w:rPr>
                <w:spacing w:val="-1"/>
              </w:rPr>
              <w:t>центрифужні</w:t>
            </w:r>
            <w:proofErr w:type="spellEnd"/>
            <w:r w:rsidRPr="00D60368">
              <w:rPr>
                <w:spacing w:val="20"/>
              </w:rPr>
              <w:t xml:space="preserve"> </w:t>
            </w:r>
            <w:r w:rsidRPr="00D60368">
              <w:rPr>
                <w:spacing w:val="-1"/>
              </w:rPr>
              <w:t>вставки.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Кількість в упаковці не менше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500 шт.</w:t>
            </w:r>
            <w:r w:rsidRPr="00D60368">
              <w:rPr>
                <w:rFonts w:eastAsia="Calibri"/>
                <w:lang w:val="ru-RU"/>
              </w:rPr>
              <w:t xml:space="preserve"> / </w:t>
            </w:r>
            <w:proofErr w:type="spellStart"/>
            <w:r w:rsidRPr="00D60368">
              <w:rPr>
                <w:rFonts w:eastAsia="Calibri"/>
                <w:lang w:val="ru-RU"/>
              </w:rPr>
              <w:t>уп</w:t>
            </w:r>
            <w:proofErr w:type="spellEnd"/>
            <w:r w:rsidRPr="00D60368">
              <w:rPr>
                <w:rFonts w:eastAsia="Calibri"/>
                <w:lang w:val="ru-RU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Максимальний об’єм зразка не більше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 xml:space="preserve">500 </w:t>
            </w:r>
            <w:proofErr w:type="spellStart"/>
            <w:r w:rsidRPr="00D60368">
              <w:rPr>
                <w:spacing w:val="-1"/>
              </w:rPr>
              <w:t>мкл</w:t>
            </w:r>
            <w:proofErr w:type="spellEnd"/>
            <w:r w:rsidRPr="00D60368">
              <w:rPr>
                <w:spacing w:val="-1"/>
              </w:rPr>
              <w:t xml:space="preserve">. 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Площа поверхні фільтрувальної зони не менше 1см</w:t>
            </w:r>
            <w:r w:rsidRPr="00D60368">
              <w:rPr>
                <w:spacing w:val="-1"/>
                <w:vertAlign w:val="superscript"/>
              </w:rPr>
              <w:t>2</w:t>
            </w:r>
            <w:r w:rsidRPr="00D60368">
              <w:rPr>
                <w:spacing w:val="-1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Максимально дозволене прискорення центрифугування не менше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spacing w:val="-1"/>
              </w:rPr>
            </w:pPr>
            <w:r w:rsidRPr="00D60368">
              <w:rPr>
                <w:spacing w:val="-1"/>
              </w:rPr>
              <w:t>15 000xg.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rFonts w:eastAsia="Calibri"/>
              </w:rPr>
              <w:t>Для з</w:t>
            </w:r>
            <w:proofErr w:type="spellStart"/>
            <w:r w:rsidRPr="00D60368">
              <w:rPr>
                <w:rFonts w:eastAsia="Calibri"/>
                <w:lang w:val="ru-RU"/>
              </w:rPr>
              <w:t>абезпечення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нормалізації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виділеної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ДНК </w:t>
            </w:r>
            <w:proofErr w:type="spellStart"/>
            <w:r w:rsidRPr="00D60368">
              <w:rPr>
                <w:rFonts w:eastAsia="Calibri"/>
                <w:lang w:val="ru-RU"/>
              </w:rPr>
              <w:t>згідно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«Методики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D60368">
              <w:rPr>
                <w:rFonts w:eastAsia="Calibri"/>
                <w:lang w:val="ru-RU"/>
              </w:rPr>
              <w:t>генетичних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досліджень</w:t>
            </w:r>
            <w:proofErr w:type="spellEnd"/>
            <w:r w:rsidRPr="00D60368">
              <w:rPr>
                <w:rFonts w:eastAsia="Calibri"/>
                <w:lang w:val="ru-RU"/>
              </w:rPr>
              <w:t>» (</w:t>
            </w:r>
            <w:proofErr w:type="spellStart"/>
            <w:r w:rsidRPr="00D6036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2117D2" w:rsidRPr="00D60368" w:rsidRDefault="002117D2" w:rsidP="002117D2"/>
    <w:p w:rsidR="002117D2" w:rsidRPr="00D60368" w:rsidRDefault="002117D2" w:rsidP="002117D2">
      <w:r w:rsidRPr="00D60368">
        <w:rPr>
          <w:rFonts w:eastAsia="Calibri"/>
          <w:b/>
          <w:noProof/>
          <w:spacing w:val="-1"/>
        </w:rPr>
        <w:t xml:space="preserve">2. </w:t>
      </w:r>
      <w:r w:rsidRPr="00D60368">
        <w:rPr>
          <w:b/>
          <w:noProof/>
          <w:spacing w:val="-1"/>
        </w:rPr>
        <w:t>Плашка</w:t>
      </w:r>
      <w:r w:rsidRPr="00D60368">
        <w:rPr>
          <w:b/>
          <w:noProof/>
          <w:spacing w:val="13"/>
        </w:rPr>
        <w:t xml:space="preserve"> </w:t>
      </w:r>
      <w:r w:rsidRPr="00D60368">
        <w:rPr>
          <w:b/>
          <w:noProof/>
          <w:spacing w:val="-1"/>
        </w:rPr>
        <w:t>для</w:t>
      </w:r>
      <w:r w:rsidRPr="00D60368">
        <w:rPr>
          <w:b/>
          <w:noProof/>
          <w:spacing w:val="7"/>
        </w:rPr>
        <w:t xml:space="preserve"> </w:t>
      </w:r>
      <w:r w:rsidRPr="00D60368">
        <w:rPr>
          <w:b/>
          <w:noProof/>
          <w:spacing w:val="-1"/>
        </w:rPr>
        <w:t>обладнання</w:t>
      </w:r>
      <w:r w:rsidRPr="00D60368">
        <w:rPr>
          <w:b/>
          <w:noProof/>
          <w:spacing w:val="7"/>
        </w:rPr>
        <w:t xml:space="preserve"> </w:t>
      </w:r>
      <w:r w:rsidRPr="00D60368">
        <w:rPr>
          <w:b/>
          <w:noProof/>
        </w:rPr>
        <w:t>АВІ</w:t>
      </w:r>
      <w:r w:rsidRPr="00D60368">
        <w:rPr>
          <w:b/>
          <w:noProof/>
          <w:spacing w:val="10"/>
        </w:rPr>
        <w:t xml:space="preserve"> </w:t>
      </w:r>
      <w:r w:rsidRPr="00D60368">
        <w:rPr>
          <w:b/>
          <w:noProof/>
          <w:spacing w:val="-1"/>
        </w:rPr>
        <w:t>31хх/3500</w:t>
      </w:r>
      <w:r w:rsidRPr="00D60368">
        <w:rPr>
          <w:b/>
          <w:noProof/>
          <w:spacing w:val="33"/>
          <w:w w:val="101"/>
        </w:rPr>
        <w:t xml:space="preserve"> </w:t>
      </w:r>
      <w:r w:rsidRPr="00D60368">
        <w:rPr>
          <w:b/>
          <w:noProof/>
          <w:spacing w:val="-1"/>
        </w:rPr>
        <w:t>MicroAmp</w:t>
      </w:r>
      <w:r w:rsidRPr="00D60368">
        <w:rPr>
          <w:b/>
          <w:noProof/>
          <w:spacing w:val="7"/>
        </w:rPr>
        <w:t xml:space="preserve"> </w:t>
      </w:r>
      <w:r w:rsidRPr="00D60368">
        <w:rPr>
          <w:b/>
          <w:noProof/>
          <w:spacing w:val="-1"/>
        </w:rPr>
        <w:t>96-Well</w:t>
      </w:r>
      <w:r w:rsidRPr="00D60368">
        <w:rPr>
          <w:b/>
          <w:noProof/>
          <w:spacing w:val="12"/>
        </w:rPr>
        <w:t xml:space="preserve"> </w:t>
      </w:r>
      <w:r w:rsidRPr="00D60368">
        <w:rPr>
          <w:b/>
          <w:noProof/>
          <w:spacing w:val="-1"/>
        </w:rPr>
        <w:t>Reaction</w:t>
      </w:r>
      <w:r w:rsidRPr="00D60368">
        <w:rPr>
          <w:b/>
          <w:noProof/>
          <w:spacing w:val="8"/>
        </w:rPr>
        <w:t xml:space="preserve"> </w:t>
      </w:r>
      <w:r w:rsidRPr="00D60368">
        <w:rPr>
          <w:b/>
          <w:noProof/>
          <w:spacing w:val="-1"/>
        </w:rPr>
        <w:t>Plate</w:t>
      </w:r>
      <w:r w:rsidRPr="00D60368">
        <w:rPr>
          <w:b/>
          <w:noProof/>
          <w:spacing w:val="45"/>
          <w:w w:val="101"/>
        </w:rPr>
        <w:t xml:space="preserve"> </w:t>
      </w:r>
      <w:r w:rsidRPr="00D60368">
        <w:rPr>
          <w:b/>
          <w:noProof/>
          <w:spacing w:val="-1"/>
        </w:rPr>
        <w:t>або</w:t>
      </w:r>
      <w:r w:rsidRPr="00D60368">
        <w:rPr>
          <w:b/>
          <w:noProof/>
          <w:spacing w:val="14"/>
        </w:rPr>
        <w:t xml:space="preserve"> </w:t>
      </w:r>
      <w:r w:rsidRPr="00D60368">
        <w:rPr>
          <w:b/>
          <w:noProof/>
          <w:spacing w:val="-1"/>
        </w:rPr>
        <w:t>еквівалент</w:t>
      </w:r>
      <w:r w:rsidRPr="00D60368">
        <w:rPr>
          <w:rFonts w:eastAsia="Calibri"/>
          <w:b/>
          <w:noProof/>
          <w:spacing w:val="-1"/>
        </w:rPr>
        <w:t xml:space="preserve"> – 70 уп.</w:t>
      </w:r>
    </w:p>
    <w:tbl>
      <w:tblPr>
        <w:tblW w:w="935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610"/>
      </w:tblGrid>
      <w:tr w:rsidR="002117D2" w:rsidRPr="00D60368" w:rsidTr="002117D2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D6036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Технічні (якісні)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характеристики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2117D2" w:rsidRPr="00D60368" w:rsidTr="002117D2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lang w:val="ru-RU"/>
              </w:rPr>
            </w:pPr>
            <w:r w:rsidRPr="00D60368">
              <w:rPr>
                <w:rFonts w:ascii="Calibri" w:eastAsia="Calibri" w:hAnsi="Calibri"/>
                <w:spacing w:val="-1"/>
                <w:lang w:val="ru-RU"/>
              </w:rPr>
              <w:t>2.1.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noProof/>
                <w:spacing w:val="-1"/>
              </w:rPr>
              <w:t>96-луночний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планшет</w:t>
            </w:r>
            <w:r w:rsidRPr="00D60368">
              <w:rPr>
                <w:noProof/>
                <w:spacing w:val="13"/>
              </w:rPr>
              <w:t xml:space="preserve"> </w:t>
            </w:r>
            <w:r w:rsidRPr="00D60368">
              <w:rPr>
                <w:noProof/>
                <w:spacing w:val="-1"/>
              </w:rPr>
              <w:t>для</w:t>
            </w:r>
            <w:r w:rsidRPr="00D60368">
              <w:rPr>
                <w:noProof/>
                <w:spacing w:val="12"/>
              </w:rPr>
              <w:t xml:space="preserve"> </w:t>
            </w:r>
            <w:r w:rsidRPr="00D60368">
              <w:rPr>
                <w:noProof/>
                <w:spacing w:val="-1"/>
              </w:rPr>
              <w:t>проведення</w:t>
            </w:r>
            <w:r w:rsidRPr="00D60368">
              <w:rPr>
                <w:noProof/>
                <w:spacing w:val="31"/>
                <w:w w:val="101"/>
              </w:rPr>
              <w:t xml:space="preserve"> </w:t>
            </w:r>
            <w:r w:rsidRPr="00D60368">
              <w:rPr>
                <w:noProof/>
                <w:spacing w:val="-1"/>
              </w:rPr>
              <w:t>електрофорезу</w:t>
            </w:r>
            <w:r w:rsidRPr="00D60368">
              <w:rPr>
                <w:noProof/>
                <w:spacing w:val="7"/>
              </w:rPr>
              <w:t xml:space="preserve"> </w:t>
            </w:r>
            <w:r w:rsidRPr="00D60368">
              <w:rPr>
                <w:noProof/>
                <w:spacing w:val="1"/>
              </w:rPr>
              <w:t>на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генетичних</w:t>
            </w:r>
            <w:r w:rsidRPr="00D60368">
              <w:rPr>
                <w:noProof/>
                <w:spacing w:val="16"/>
              </w:rPr>
              <w:t xml:space="preserve"> </w:t>
            </w:r>
            <w:r w:rsidRPr="00D60368">
              <w:rPr>
                <w:noProof/>
                <w:spacing w:val="-1"/>
              </w:rPr>
              <w:t>аналізаторах</w:t>
            </w:r>
            <w:r w:rsidRPr="00D60368">
              <w:rPr>
                <w:noProof/>
                <w:spacing w:val="15"/>
              </w:rPr>
              <w:t xml:space="preserve"> </w:t>
            </w:r>
            <w:r w:rsidRPr="00D60368">
              <w:rPr>
                <w:noProof/>
                <w:spacing w:val="-1"/>
              </w:rPr>
              <w:t>Applied</w:t>
            </w:r>
            <w:r w:rsidRPr="00D60368">
              <w:rPr>
                <w:noProof/>
                <w:spacing w:val="39"/>
                <w:w w:val="101"/>
              </w:rPr>
              <w:t xml:space="preserve"> </w:t>
            </w:r>
            <w:r w:rsidRPr="00D60368">
              <w:rPr>
                <w:noProof/>
                <w:spacing w:val="-1"/>
              </w:rPr>
              <w:t>Biosystems</w:t>
            </w:r>
            <w:r w:rsidRPr="00D60368">
              <w:rPr>
                <w:noProof/>
                <w:spacing w:val="14"/>
              </w:rPr>
              <w:t xml:space="preserve"> </w:t>
            </w:r>
            <w:r w:rsidRPr="00D60368">
              <w:rPr>
                <w:noProof/>
                <w:spacing w:val="-1"/>
              </w:rPr>
              <w:t>серії</w:t>
            </w:r>
            <w:r w:rsidRPr="00D60368">
              <w:rPr>
                <w:noProof/>
                <w:spacing w:val="14"/>
              </w:rPr>
              <w:t xml:space="preserve"> </w:t>
            </w:r>
            <w:r w:rsidRPr="00D60368">
              <w:rPr>
                <w:noProof/>
                <w:spacing w:val="-1"/>
              </w:rPr>
              <w:t>31хх/3500</w:t>
            </w:r>
            <w:r w:rsidRPr="00D60368">
              <w:rPr>
                <w:rFonts w:eastAsia="Calibri"/>
                <w:lang w:val="ru-RU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</w:rPr>
            </w:pPr>
            <w:r w:rsidRPr="00D60368">
              <w:rPr>
                <w:noProof/>
                <w:spacing w:val="-1"/>
              </w:rPr>
              <w:t>Плашки</w:t>
            </w:r>
            <w:r w:rsidRPr="00D60368">
              <w:rPr>
                <w:noProof/>
                <w:spacing w:val="5"/>
              </w:rPr>
              <w:t xml:space="preserve"> </w:t>
            </w:r>
            <w:r w:rsidRPr="00D60368">
              <w:rPr>
                <w:noProof/>
                <w:spacing w:val="-1"/>
              </w:rPr>
              <w:t>повинні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бути</w:t>
            </w:r>
            <w:r w:rsidRPr="00D60368">
              <w:rPr>
                <w:noProof/>
                <w:spacing w:val="6"/>
              </w:rPr>
              <w:t xml:space="preserve"> </w:t>
            </w:r>
            <w:r w:rsidRPr="00D60368">
              <w:rPr>
                <w:noProof/>
                <w:spacing w:val="-1"/>
              </w:rPr>
              <w:t>сумісні</w:t>
            </w:r>
            <w:r w:rsidRPr="00D60368">
              <w:rPr>
                <w:noProof/>
                <w:spacing w:val="7"/>
              </w:rPr>
              <w:t xml:space="preserve"> </w:t>
            </w:r>
            <w:r w:rsidRPr="00D60368">
              <w:rPr>
                <w:noProof/>
              </w:rPr>
              <w:t>з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системою</w:t>
            </w:r>
            <w:r w:rsidRPr="00D60368">
              <w:rPr>
                <w:noProof/>
                <w:spacing w:val="7"/>
              </w:rPr>
              <w:t xml:space="preserve"> </w:t>
            </w:r>
            <w:r w:rsidRPr="00D60368">
              <w:rPr>
                <w:noProof/>
                <w:spacing w:val="-1"/>
              </w:rPr>
              <w:t>ПЛР</w:t>
            </w:r>
            <w:r w:rsidRPr="00D60368">
              <w:rPr>
                <w:noProof/>
                <w:spacing w:val="41"/>
                <w:w w:val="101"/>
              </w:rPr>
              <w:t xml:space="preserve"> </w:t>
            </w:r>
            <w:r w:rsidRPr="00D60368">
              <w:rPr>
                <w:noProof/>
                <w:spacing w:val="-1"/>
              </w:rPr>
              <w:t>Applied</w:t>
            </w:r>
            <w:r w:rsidRPr="00D60368">
              <w:rPr>
                <w:noProof/>
                <w:spacing w:val="8"/>
              </w:rPr>
              <w:t xml:space="preserve"> </w:t>
            </w:r>
            <w:r w:rsidRPr="00D60368">
              <w:rPr>
                <w:noProof/>
                <w:spacing w:val="-1"/>
              </w:rPr>
              <w:t>Biosystems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Real-Time</w:t>
            </w:r>
            <w:r w:rsidRPr="00D60368">
              <w:rPr>
                <w:noProof/>
                <w:spacing w:val="10"/>
              </w:rPr>
              <w:t xml:space="preserve"> </w:t>
            </w:r>
            <w:r w:rsidRPr="00D60368">
              <w:rPr>
                <w:noProof/>
                <w:spacing w:val="-1"/>
              </w:rPr>
              <w:t>та</w:t>
            </w:r>
            <w:r w:rsidRPr="00D60368">
              <w:rPr>
                <w:noProof/>
                <w:spacing w:val="11"/>
              </w:rPr>
              <w:t xml:space="preserve"> </w:t>
            </w:r>
            <w:r w:rsidRPr="00D60368">
              <w:rPr>
                <w:noProof/>
              </w:rPr>
              <w:t>з</w:t>
            </w:r>
            <w:r w:rsidRPr="00D60368">
              <w:rPr>
                <w:noProof/>
                <w:spacing w:val="9"/>
              </w:rPr>
              <w:t xml:space="preserve"> </w:t>
            </w:r>
            <w:r w:rsidRPr="00D60368">
              <w:rPr>
                <w:noProof/>
                <w:spacing w:val="-1"/>
              </w:rPr>
              <w:t>системами</w:t>
            </w:r>
            <w:r w:rsidRPr="00D60368">
              <w:rPr>
                <w:noProof/>
                <w:spacing w:val="33"/>
                <w:w w:val="101"/>
              </w:rPr>
              <w:t xml:space="preserve"> </w:t>
            </w:r>
            <w:r w:rsidRPr="00D60368">
              <w:rPr>
                <w:noProof/>
                <w:spacing w:val="-1"/>
              </w:rPr>
              <w:t>генетичних</w:t>
            </w:r>
            <w:r w:rsidRPr="00D60368">
              <w:rPr>
                <w:noProof/>
                <w:spacing w:val="14"/>
              </w:rPr>
              <w:t xml:space="preserve"> </w:t>
            </w:r>
            <w:r w:rsidRPr="00D60368">
              <w:rPr>
                <w:noProof/>
                <w:spacing w:val="-1"/>
              </w:rPr>
              <w:t>аналізаторів</w:t>
            </w:r>
            <w:r w:rsidRPr="00D60368">
              <w:rPr>
                <w:noProof/>
                <w:spacing w:val="14"/>
              </w:rPr>
              <w:t xml:space="preserve"> </w:t>
            </w:r>
            <w:r w:rsidRPr="00D60368">
              <w:rPr>
                <w:noProof/>
                <w:spacing w:val="-1"/>
              </w:rPr>
              <w:t>Applied</w:t>
            </w:r>
            <w:r w:rsidRPr="00D60368">
              <w:rPr>
                <w:noProof/>
                <w:spacing w:val="11"/>
              </w:rPr>
              <w:t xml:space="preserve"> </w:t>
            </w:r>
            <w:r w:rsidRPr="00D60368">
              <w:rPr>
                <w:noProof/>
                <w:spacing w:val="-1"/>
              </w:rPr>
              <w:t>Biosystems</w:t>
            </w:r>
            <w:r w:rsidRPr="00D60368">
              <w:rPr>
                <w:noProof/>
                <w:spacing w:val="11"/>
              </w:rPr>
              <w:t xml:space="preserve"> </w:t>
            </w:r>
            <w:r w:rsidRPr="00D60368">
              <w:rPr>
                <w:noProof/>
                <w:spacing w:val="-1"/>
              </w:rPr>
              <w:t>серії</w:t>
            </w:r>
            <w:r w:rsidRPr="00D60368">
              <w:rPr>
                <w:noProof/>
                <w:spacing w:val="39"/>
                <w:w w:val="101"/>
              </w:rPr>
              <w:t xml:space="preserve"> </w:t>
            </w:r>
            <w:r w:rsidRPr="00D60368">
              <w:rPr>
                <w:noProof/>
                <w:spacing w:val="-1"/>
              </w:rPr>
              <w:t>31хх/3500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</w:rPr>
            </w:pPr>
            <w:r w:rsidRPr="00D60368">
              <w:rPr>
                <w:noProof/>
                <w:spacing w:val="-1"/>
              </w:rPr>
              <w:t>Кількість</w:t>
            </w:r>
            <w:r w:rsidRPr="00D60368">
              <w:rPr>
                <w:noProof/>
                <w:spacing w:val="9"/>
              </w:rPr>
              <w:t xml:space="preserve"> </w:t>
            </w:r>
            <w:r w:rsidRPr="00D60368">
              <w:rPr>
                <w:noProof/>
                <w:spacing w:val="-1"/>
              </w:rPr>
              <w:t>плашок</w:t>
            </w:r>
            <w:r w:rsidRPr="00D60368">
              <w:rPr>
                <w:rFonts w:eastAsia="Calibri"/>
                <w:lang w:val="ru-RU"/>
              </w:rPr>
              <w:t xml:space="preserve"> в </w:t>
            </w:r>
            <w:proofErr w:type="spellStart"/>
            <w:r w:rsidRPr="00D60368">
              <w:rPr>
                <w:rFonts w:eastAsia="Calibri"/>
                <w:lang w:val="ru-RU"/>
              </w:rPr>
              <w:t>упаковці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не менше10 шт. / </w:t>
            </w:r>
            <w:proofErr w:type="spellStart"/>
            <w:r w:rsidRPr="00D60368">
              <w:rPr>
                <w:rFonts w:eastAsia="Calibri"/>
                <w:lang w:val="ru-RU"/>
              </w:rPr>
              <w:t>уп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. </w:t>
            </w:r>
            <w:r w:rsidRPr="00D60368">
              <w:rPr>
                <w:noProof/>
                <w:spacing w:val="-1"/>
              </w:rPr>
              <w:t>Кількість</w:t>
            </w:r>
            <w:r w:rsidRPr="00D60368">
              <w:rPr>
                <w:noProof/>
                <w:spacing w:val="16"/>
              </w:rPr>
              <w:t xml:space="preserve"> </w:t>
            </w:r>
            <w:r w:rsidRPr="00D60368">
              <w:rPr>
                <w:noProof/>
                <w:spacing w:val="-1"/>
              </w:rPr>
              <w:t>лунок в плашці  - 96</w:t>
            </w:r>
            <w:r w:rsidRPr="00D60368">
              <w:rPr>
                <w:rFonts w:eastAsia="Calibri"/>
                <w:lang w:val="ru-RU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noProof/>
                <w:spacing w:val="-1"/>
              </w:rPr>
              <w:t>Об’єм</w:t>
            </w:r>
            <w:r w:rsidRPr="00D60368">
              <w:rPr>
                <w:noProof/>
                <w:spacing w:val="12"/>
              </w:rPr>
              <w:t xml:space="preserve"> </w:t>
            </w:r>
            <w:r w:rsidRPr="00D60368">
              <w:rPr>
                <w:noProof/>
                <w:spacing w:val="-1"/>
              </w:rPr>
              <w:t>лунки</w:t>
            </w:r>
            <w:r w:rsidRPr="00D60368">
              <w:rPr>
                <w:noProof/>
                <w:spacing w:val="12"/>
              </w:rPr>
              <w:t xml:space="preserve"> </w:t>
            </w:r>
            <w:r w:rsidRPr="00D60368">
              <w:rPr>
                <w:noProof/>
                <w:spacing w:val="-1"/>
              </w:rPr>
              <w:t>плашки 0,2 мл.</w:t>
            </w:r>
            <w:r w:rsidRPr="00D60368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rFonts w:eastAsia="Calibri"/>
              </w:rPr>
              <w:t>Для з</w:t>
            </w:r>
            <w:proofErr w:type="spellStart"/>
            <w:r w:rsidRPr="00D60368">
              <w:rPr>
                <w:rFonts w:eastAsia="Calibri"/>
                <w:lang w:val="ru-RU"/>
              </w:rPr>
              <w:t>абезпечення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капілярного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електрофорезу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згідно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«Методики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D60368">
              <w:rPr>
                <w:rFonts w:eastAsia="Calibri"/>
                <w:lang w:val="ru-RU"/>
              </w:rPr>
              <w:t>генетичних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досліджень</w:t>
            </w:r>
            <w:proofErr w:type="spellEnd"/>
            <w:r w:rsidRPr="00D60368">
              <w:rPr>
                <w:rFonts w:eastAsia="Calibri"/>
                <w:lang w:val="ru-RU"/>
              </w:rPr>
              <w:t>» (</w:t>
            </w:r>
            <w:proofErr w:type="spellStart"/>
            <w:r w:rsidRPr="00D6036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D60368" w:rsidRDefault="00D60368" w:rsidP="002117D2">
      <w:pPr>
        <w:rPr>
          <w:rFonts w:eastAsia="Calibri"/>
          <w:b/>
          <w:noProof/>
          <w:spacing w:val="-1"/>
        </w:rPr>
      </w:pPr>
    </w:p>
    <w:p w:rsidR="002117D2" w:rsidRPr="00D60368" w:rsidRDefault="002117D2" w:rsidP="002117D2">
      <w:r w:rsidRPr="00D60368">
        <w:rPr>
          <w:rFonts w:eastAsia="Calibri"/>
          <w:b/>
          <w:noProof/>
          <w:spacing w:val="-1"/>
        </w:rPr>
        <w:lastRenderedPageBreak/>
        <w:t xml:space="preserve">3. </w:t>
      </w:r>
      <w:r w:rsidRPr="00D60368">
        <w:rPr>
          <w:b/>
          <w:spacing w:val="-1"/>
        </w:rPr>
        <w:t xml:space="preserve">Клейка стрічка для плашок </w:t>
      </w:r>
      <w:proofErr w:type="spellStart"/>
      <w:r w:rsidRPr="00D60368">
        <w:rPr>
          <w:b/>
          <w:spacing w:val="-1"/>
        </w:rPr>
        <w:t>Self-adhering</w:t>
      </w:r>
      <w:proofErr w:type="spellEnd"/>
      <w:r w:rsidRPr="00D60368">
        <w:rPr>
          <w:b/>
          <w:spacing w:val="-1"/>
        </w:rPr>
        <w:t xml:space="preserve"> PE </w:t>
      </w:r>
      <w:proofErr w:type="spellStart"/>
      <w:r w:rsidRPr="00D60368">
        <w:rPr>
          <w:b/>
          <w:spacing w:val="-1"/>
        </w:rPr>
        <w:t>Foil</w:t>
      </w:r>
      <w:proofErr w:type="spellEnd"/>
      <w:r w:rsidRPr="00D60368">
        <w:rPr>
          <w:b/>
          <w:spacing w:val="-1"/>
        </w:rPr>
        <w:t xml:space="preserve"> або еквівалент </w:t>
      </w:r>
      <w:r w:rsidRPr="00D60368">
        <w:rPr>
          <w:rFonts w:eastAsia="Calibri"/>
          <w:b/>
          <w:noProof/>
          <w:spacing w:val="-1"/>
        </w:rPr>
        <w:t>– 20 уп.</w:t>
      </w:r>
    </w:p>
    <w:tbl>
      <w:tblPr>
        <w:tblW w:w="9357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613"/>
      </w:tblGrid>
      <w:tr w:rsidR="002117D2" w:rsidRPr="00D60368" w:rsidTr="002117D2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D6036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Технічні (якісні)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характеристики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2117D2" w:rsidRPr="00D60368" w:rsidTr="002117D2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lang w:val="ru-RU"/>
              </w:rPr>
            </w:pPr>
            <w:r w:rsidRPr="00D60368">
              <w:rPr>
                <w:rFonts w:ascii="Calibri" w:eastAsia="Calibri" w:hAnsi="Calibri"/>
                <w:spacing w:val="-1"/>
                <w:lang w:val="ru-RU"/>
              </w:rPr>
              <w:t>3.1.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Клейка стрічка з фольги для герметичного запечатування та зберігання 96-ямкових планшетів для </w:t>
            </w:r>
            <w:proofErr w:type="spellStart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елюції</w:t>
            </w:r>
            <w:proofErr w:type="spellEnd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Кількість в упаковці не менше</w:t>
            </w:r>
          </w:p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50 шт. / </w:t>
            </w:r>
            <w:proofErr w:type="spellStart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</w:t>
            </w:r>
            <w:proofErr w:type="spellEnd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117D2" w:rsidRPr="00D60368" w:rsidRDefault="002117D2" w:rsidP="00FF18C1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rFonts w:eastAsia="Calibri"/>
              </w:rPr>
              <w:t>Для з</w:t>
            </w:r>
            <w:proofErr w:type="spellStart"/>
            <w:r w:rsidRPr="00D60368">
              <w:rPr>
                <w:rFonts w:eastAsia="Calibri"/>
                <w:lang w:val="ru-RU"/>
              </w:rPr>
              <w:t>абезпечення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капілярного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електрофорезу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згідно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«Методики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D60368">
              <w:rPr>
                <w:rFonts w:eastAsia="Calibri"/>
                <w:lang w:val="ru-RU"/>
              </w:rPr>
              <w:t>генетичних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досліджень</w:t>
            </w:r>
            <w:proofErr w:type="spellEnd"/>
            <w:r w:rsidRPr="00D60368">
              <w:rPr>
                <w:rFonts w:eastAsia="Calibri"/>
                <w:lang w:val="ru-RU"/>
              </w:rPr>
              <w:t>» (</w:t>
            </w:r>
            <w:proofErr w:type="spellStart"/>
            <w:r w:rsidRPr="00D6036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2117D2" w:rsidRPr="00D60368" w:rsidRDefault="002117D2" w:rsidP="002117D2">
      <w:pPr>
        <w:jc w:val="center"/>
        <w:rPr>
          <w:b/>
        </w:rPr>
      </w:pPr>
    </w:p>
    <w:p w:rsidR="002117D2" w:rsidRPr="00D60368" w:rsidRDefault="002117D2" w:rsidP="002117D2">
      <w:pPr>
        <w:jc w:val="center"/>
        <w:rPr>
          <w:b/>
        </w:rPr>
      </w:pPr>
    </w:p>
    <w:p w:rsidR="002117D2" w:rsidRPr="00D60368" w:rsidRDefault="002117D2" w:rsidP="002117D2">
      <w:pPr>
        <w:jc w:val="both"/>
      </w:pPr>
      <w:r w:rsidRPr="00D60368">
        <w:rPr>
          <w:rFonts w:eastAsia="Calibri"/>
          <w:b/>
          <w:noProof/>
          <w:spacing w:val="-1"/>
        </w:rPr>
        <w:t xml:space="preserve">4. </w:t>
      </w:r>
      <w:r w:rsidRPr="00D60368">
        <w:rPr>
          <w:b/>
          <w:spacing w:val="-1"/>
        </w:rPr>
        <w:t>Резервуар для рідких реактивів </w:t>
      </w:r>
      <w:proofErr w:type="spellStart"/>
      <w:r w:rsidRPr="00D60368">
        <w:rPr>
          <w:b/>
          <w:spacing w:val="-1"/>
        </w:rPr>
        <w:t>Reagent</w:t>
      </w:r>
      <w:proofErr w:type="spellEnd"/>
      <w:r w:rsidRPr="00D60368">
        <w:rPr>
          <w:b/>
          <w:spacing w:val="-1"/>
        </w:rPr>
        <w:t xml:space="preserve"> </w:t>
      </w:r>
      <w:proofErr w:type="spellStart"/>
      <w:r w:rsidRPr="00D60368">
        <w:rPr>
          <w:b/>
          <w:spacing w:val="-1"/>
        </w:rPr>
        <w:t>Reservoir</w:t>
      </w:r>
      <w:proofErr w:type="spellEnd"/>
      <w:r w:rsidRPr="00D60368">
        <w:rPr>
          <w:b/>
          <w:spacing w:val="-1"/>
        </w:rPr>
        <w:t xml:space="preserve"> або еквівалент</w:t>
      </w:r>
      <w:r w:rsidRPr="00D60368">
        <w:rPr>
          <w:rFonts w:eastAsia="Calibri"/>
          <w:b/>
          <w:noProof/>
          <w:spacing w:val="-1"/>
        </w:rPr>
        <w:t xml:space="preserve"> – 10 уп.</w:t>
      </w:r>
    </w:p>
    <w:tbl>
      <w:tblPr>
        <w:tblW w:w="9357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613"/>
      </w:tblGrid>
      <w:tr w:rsidR="002117D2" w:rsidRPr="00D60368" w:rsidTr="002117D2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D60368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Технічні (якісні)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характеристики</w:t>
            </w:r>
          </w:p>
          <w:p w:rsidR="002117D2" w:rsidRPr="00D60368" w:rsidRDefault="002117D2" w:rsidP="00FF18C1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D60368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2117D2" w:rsidRPr="00D60368" w:rsidRDefault="002117D2" w:rsidP="00FF18C1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D60368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2117D2" w:rsidRPr="00D60368" w:rsidTr="002117D2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lang w:val="ru-RU"/>
              </w:rPr>
            </w:pPr>
            <w:r w:rsidRPr="00D60368">
              <w:rPr>
                <w:rFonts w:ascii="Calibri" w:eastAsia="Calibri" w:hAnsi="Calibri"/>
                <w:spacing w:val="-1"/>
                <w:lang w:val="ru-RU"/>
              </w:rPr>
              <w:t>4.1.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Резервуари для реагентів, які підходять для різних процедур </w:t>
            </w:r>
            <w:proofErr w:type="spellStart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піпетування</w:t>
            </w:r>
            <w:proofErr w:type="spellEnd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Матеріал – полістирол</w:t>
            </w:r>
          </w:p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pStyle w:val="TableParagraph"/>
              <w:spacing w:line="260" w:lineRule="exact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Ємність резервуару 100 мл. Кількість в упаковці не менше </w:t>
            </w:r>
          </w:p>
          <w:p w:rsidR="002117D2" w:rsidRPr="00D60368" w:rsidRDefault="002117D2" w:rsidP="00FF18C1">
            <w:pPr>
              <w:pStyle w:val="TableParagraph"/>
              <w:spacing w:line="260" w:lineRule="exact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100 шт. / </w:t>
            </w:r>
            <w:proofErr w:type="spellStart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</w:t>
            </w:r>
            <w:proofErr w:type="spellEnd"/>
            <w:r w:rsidRPr="00D6036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117D2" w:rsidRPr="00D60368" w:rsidRDefault="002117D2" w:rsidP="00FF18C1">
            <w:pPr>
              <w:pStyle w:val="TableParagraph"/>
              <w:tabs>
                <w:tab w:val="left" w:pos="5312"/>
              </w:tabs>
              <w:spacing w:line="260" w:lineRule="exact"/>
              <w:ind w:left="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D2" w:rsidRPr="00D60368" w:rsidRDefault="002117D2" w:rsidP="00FF18C1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lang w:val="ru-RU"/>
              </w:rPr>
            </w:pPr>
            <w:r w:rsidRPr="00D60368">
              <w:rPr>
                <w:rFonts w:eastAsia="Calibri"/>
              </w:rPr>
              <w:t>Для з</w:t>
            </w:r>
            <w:proofErr w:type="spellStart"/>
            <w:r w:rsidRPr="00D60368">
              <w:rPr>
                <w:rFonts w:eastAsia="Calibri"/>
                <w:lang w:val="ru-RU"/>
              </w:rPr>
              <w:t>абезпечення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піпетування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при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проведенні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D60368">
              <w:rPr>
                <w:rFonts w:eastAsia="Calibri"/>
                <w:lang w:val="ru-RU"/>
              </w:rPr>
              <w:t>генетичних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досліджень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згідно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«Методики </w:t>
            </w:r>
            <w:proofErr w:type="spellStart"/>
            <w:r w:rsidRPr="00D60368">
              <w:rPr>
                <w:rFonts w:eastAsia="Calibri"/>
                <w:lang w:val="ru-RU"/>
              </w:rPr>
              <w:t>проведення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молекулярно-</w:t>
            </w:r>
            <w:proofErr w:type="spellStart"/>
            <w:r w:rsidRPr="00D60368">
              <w:rPr>
                <w:rFonts w:eastAsia="Calibri"/>
                <w:lang w:val="ru-RU"/>
              </w:rPr>
              <w:t>генетичних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D60368">
              <w:rPr>
                <w:rFonts w:eastAsia="Calibri"/>
                <w:lang w:val="ru-RU"/>
              </w:rPr>
              <w:t>досліджень</w:t>
            </w:r>
            <w:proofErr w:type="spellEnd"/>
            <w:r w:rsidRPr="00D60368">
              <w:rPr>
                <w:rFonts w:eastAsia="Calibri"/>
                <w:lang w:val="ru-RU"/>
              </w:rPr>
              <w:t>» (</w:t>
            </w:r>
            <w:proofErr w:type="spellStart"/>
            <w:r w:rsidRPr="00D60368">
              <w:rPr>
                <w:rFonts w:eastAsia="Calibri"/>
                <w:lang w:val="ru-RU"/>
              </w:rPr>
              <w:t>реєстраційний</w:t>
            </w:r>
            <w:proofErr w:type="spellEnd"/>
            <w:r w:rsidRPr="00D60368">
              <w:rPr>
                <w:rFonts w:eastAsia="Calibri"/>
                <w:lang w:val="ru-RU"/>
              </w:rPr>
              <w:t xml:space="preserve"> код 9.5.01)</w:t>
            </w:r>
          </w:p>
        </w:tc>
      </w:tr>
    </w:tbl>
    <w:p w:rsidR="002117D2" w:rsidRPr="00D60368" w:rsidRDefault="002117D2"/>
    <w:p w:rsidR="002117D2" w:rsidRPr="002117D2" w:rsidRDefault="002117D2" w:rsidP="00D60368">
      <w:pPr>
        <w:ind w:firstLine="6804"/>
        <w:contextualSpacing/>
        <w:rPr>
          <w:b/>
          <w:sz w:val="28"/>
          <w:szCs w:val="28"/>
        </w:rPr>
      </w:pPr>
      <w:r>
        <w:br w:type="column"/>
      </w:r>
    </w:p>
    <w:p w:rsidR="00D60368" w:rsidRDefault="002117D2" w:rsidP="002117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7D2">
        <w:rPr>
          <w:b/>
          <w:sz w:val="28"/>
          <w:szCs w:val="28"/>
        </w:rPr>
        <w:t xml:space="preserve">Обґрунтування розміру бюджетного призначення та </w:t>
      </w:r>
    </w:p>
    <w:p w:rsidR="002117D2" w:rsidRDefault="002117D2" w:rsidP="002117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7D2">
        <w:rPr>
          <w:b/>
          <w:sz w:val="28"/>
          <w:szCs w:val="28"/>
        </w:rPr>
        <w:t xml:space="preserve">очікуваної вартості предмета закупівлі </w:t>
      </w:r>
    </w:p>
    <w:p w:rsidR="00D60368" w:rsidRPr="00D60368" w:rsidRDefault="00D60368" w:rsidP="00D60368">
      <w:pPr>
        <w:widowControl w:val="0"/>
        <w:autoSpaceDE w:val="0"/>
        <w:autoSpaceDN w:val="0"/>
        <w:adjustRightInd w:val="0"/>
        <w:jc w:val="center"/>
        <w:rPr>
          <w:b/>
          <w:caps/>
          <w:lang w:val="ru-RU"/>
        </w:rPr>
      </w:pPr>
      <w:r>
        <w:rPr>
          <w:b/>
          <w:sz w:val="28"/>
        </w:rPr>
        <w:t>К</w:t>
      </w:r>
      <w:r w:rsidRPr="00B5190E">
        <w:rPr>
          <w:b/>
          <w:sz w:val="28"/>
        </w:rPr>
        <w:t xml:space="preserve">од </w:t>
      </w:r>
      <w:r w:rsidRPr="00B5190E">
        <w:rPr>
          <w:b/>
          <w:caps/>
          <w:sz w:val="28"/>
        </w:rPr>
        <w:t xml:space="preserve">ДК 021:2015 – 19520000-7, </w:t>
      </w:r>
      <w:r>
        <w:rPr>
          <w:b/>
          <w:sz w:val="28"/>
        </w:rPr>
        <w:t>Пластмасові вироби (В</w:t>
      </w:r>
      <w:r w:rsidRPr="00D60368">
        <w:rPr>
          <w:b/>
          <w:sz w:val="28"/>
        </w:rPr>
        <w:t>итратні матеріали для молекулярно-генетичних досліджень)</w:t>
      </w:r>
    </w:p>
    <w:p w:rsidR="00D60368" w:rsidRPr="00D60368" w:rsidRDefault="00D60368" w:rsidP="002117D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D60368" w:rsidRPr="00D60368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368">
        <w:rPr>
          <w:rFonts w:ascii="Times New Roman" w:hAnsi="Times New Roman" w:cs="Times New Roman"/>
          <w:b/>
          <w:sz w:val="28"/>
          <w:szCs w:val="28"/>
        </w:rPr>
        <w:t>UA-2021-04-26-006713-c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D60368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368" w:rsidRPr="008453F5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D60368">
        <w:rPr>
          <w:rFonts w:ascii="Times New Roman" w:hAnsi="Times New Roman" w:cs="Times New Roman"/>
          <w:sz w:val="28"/>
          <w:szCs w:val="28"/>
          <w:u w:val="single"/>
        </w:rPr>
        <w:t>2 909 080,82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453F5">
        <w:rPr>
          <w:rFonts w:ascii="Times New Roman" w:hAnsi="Times New Roman" w:cs="Times New Roman"/>
          <w:sz w:val="28"/>
          <w:szCs w:val="28"/>
          <w:u w:val="single"/>
        </w:rPr>
        <w:t>грн.</w:t>
      </w:r>
    </w:p>
    <w:p w:rsidR="00D60368" w:rsidRPr="008453F5" w:rsidRDefault="00D60368" w:rsidP="00D6036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>)</w:t>
      </w:r>
    </w:p>
    <w:p w:rsidR="00D60368" w:rsidRPr="00D60368" w:rsidRDefault="00D60368" w:rsidP="002117D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D60368" w:rsidRPr="002117D2" w:rsidRDefault="00D60368" w:rsidP="002117D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17D2" w:rsidRPr="002117D2" w:rsidRDefault="002117D2" w:rsidP="002117D2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 w:rsidRPr="002117D2">
        <w:rPr>
          <w:noProof/>
          <w:spacing w:val="-1"/>
          <w:sz w:val="28"/>
          <w:szCs w:val="28"/>
        </w:rPr>
        <w:t>1. Колонка фільтраційна AMICON ULTRA або еквівалент – 30 уп.;</w:t>
      </w:r>
    </w:p>
    <w:p w:rsidR="002117D2" w:rsidRPr="002117D2" w:rsidRDefault="002117D2" w:rsidP="002117D2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 w:rsidRPr="002117D2">
        <w:rPr>
          <w:caps/>
          <w:sz w:val="28"/>
          <w:szCs w:val="28"/>
        </w:rPr>
        <w:t xml:space="preserve">2. </w:t>
      </w:r>
      <w:r w:rsidRPr="002117D2">
        <w:rPr>
          <w:noProof/>
          <w:spacing w:val="-1"/>
          <w:sz w:val="28"/>
          <w:szCs w:val="28"/>
        </w:rPr>
        <w:t>Плашка для обладнання АВІ 31хх/3500 MicroAmp 96-Well Reaction Plate або еквівалент – 70 уп</w:t>
      </w:r>
      <w:r w:rsidR="00D60368">
        <w:rPr>
          <w:noProof/>
          <w:spacing w:val="-1"/>
          <w:sz w:val="28"/>
          <w:szCs w:val="28"/>
        </w:rPr>
        <w:t>.</w:t>
      </w:r>
      <w:r w:rsidRPr="002117D2">
        <w:rPr>
          <w:noProof/>
          <w:spacing w:val="-1"/>
          <w:sz w:val="28"/>
          <w:szCs w:val="28"/>
        </w:rPr>
        <w:t>;</w:t>
      </w:r>
    </w:p>
    <w:p w:rsidR="002117D2" w:rsidRPr="002117D2" w:rsidRDefault="002117D2" w:rsidP="002117D2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 w:rsidRPr="002117D2">
        <w:rPr>
          <w:noProof/>
          <w:spacing w:val="-1"/>
          <w:sz w:val="28"/>
          <w:szCs w:val="28"/>
        </w:rPr>
        <w:t>3. Клейка плівка для планшеток (Machrey-Nagel)</w:t>
      </w:r>
      <w:r w:rsidRPr="002117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17D2">
        <w:rPr>
          <w:noProof/>
          <w:spacing w:val="-1"/>
          <w:sz w:val="28"/>
          <w:szCs w:val="28"/>
        </w:rPr>
        <w:t>або еквівалент – 20 уп</w:t>
      </w:r>
      <w:r w:rsidR="00D60368">
        <w:rPr>
          <w:noProof/>
          <w:spacing w:val="-1"/>
          <w:sz w:val="28"/>
          <w:szCs w:val="28"/>
        </w:rPr>
        <w:t>.</w:t>
      </w:r>
      <w:r w:rsidRPr="002117D2">
        <w:rPr>
          <w:noProof/>
          <w:spacing w:val="-1"/>
          <w:sz w:val="28"/>
          <w:szCs w:val="28"/>
        </w:rPr>
        <w:t>;</w:t>
      </w:r>
    </w:p>
    <w:p w:rsidR="002117D2" w:rsidRPr="002117D2" w:rsidRDefault="002117D2" w:rsidP="002117D2">
      <w:pPr>
        <w:widowControl w:val="0"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2117D2">
        <w:rPr>
          <w:noProof/>
          <w:spacing w:val="-1"/>
          <w:sz w:val="28"/>
          <w:szCs w:val="28"/>
        </w:rPr>
        <w:t>4. Резервуари під реагенти для багатоканальних дозаторів, нестерильні, 100 мл, 100шт./уп.</w:t>
      </w:r>
      <w:r w:rsidRPr="002117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117D2">
        <w:rPr>
          <w:noProof/>
          <w:spacing w:val="-1"/>
          <w:sz w:val="28"/>
          <w:szCs w:val="28"/>
        </w:rPr>
        <w:t>або еквівалент – 10 уп.</w:t>
      </w:r>
    </w:p>
    <w:p w:rsidR="002117D2" w:rsidRPr="002117D2" w:rsidRDefault="002117D2" w:rsidP="002117D2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0"/>
          <w:szCs w:val="20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2117D2" w:rsidRPr="002117D2" w:rsidTr="00FF18C1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7D2" w:rsidRPr="002117D2" w:rsidRDefault="002117D2" w:rsidP="002117D2">
            <w:pPr>
              <w:spacing w:line="260" w:lineRule="exact"/>
              <w:ind w:right="1"/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2117D2">
              <w:rPr>
                <w:rFonts w:eastAsiaTheme="minorHAnsi" w:cstheme="minorBidi"/>
                <w:b/>
                <w:lang w:eastAsia="en-US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7D2" w:rsidRPr="002117D2" w:rsidRDefault="002117D2" w:rsidP="002117D2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2117D2">
              <w:rPr>
                <w:rFonts w:cstheme="minorBidi"/>
                <w:b/>
                <w:lang w:eastAsia="en-US"/>
              </w:rPr>
              <w:t>Розмір бюджетного</w:t>
            </w:r>
          </w:p>
          <w:p w:rsidR="002117D2" w:rsidRPr="002117D2" w:rsidRDefault="002117D2" w:rsidP="002117D2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2117D2">
              <w:rPr>
                <w:rFonts w:cstheme="minorBidi"/>
                <w:b/>
                <w:lang w:eastAsia="en-US"/>
              </w:rPr>
              <w:t xml:space="preserve"> призначення</w:t>
            </w:r>
          </w:p>
          <w:p w:rsidR="002117D2" w:rsidRPr="002117D2" w:rsidRDefault="002117D2" w:rsidP="002117D2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117D2" w:rsidRPr="002117D2" w:rsidRDefault="002117D2" w:rsidP="002117D2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2117D2">
              <w:rPr>
                <w:rFonts w:eastAsiaTheme="minorHAnsi" w:cstheme="minorBidi"/>
                <w:b/>
                <w:spacing w:val="9"/>
                <w:lang w:eastAsia="en-US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117D2" w:rsidRPr="002117D2" w:rsidRDefault="002117D2" w:rsidP="002117D2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2117D2">
              <w:rPr>
                <w:rFonts w:eastAsiaTheme="minorHAnsi" w:cstheme="minorBidi"/>
                <w:b/>
                <w:spacing w:val="9"/>
                <w:lang w:eastAsia="en-US"/>
              </w:rPr>
              <w:t xml:space="preserve">Обґрунтування розміру очікуваної вартості </w:t>
            </w:r>
          </w:p>
          <w:p w:rsidR="002117D2" w:rsidRPr="002117D2" w:rsidRDefault="002117D2" w:rsidP="002117D2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</w:p>
        </w:tc>
      </w:tr>
      <w:tr w:rsidR="002117D2" w:rsidRPr="002117D2" w:rsidTr="00FF18C1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7D2" w:rsidRPr="002117D2" w:rsidRDefault="002117D2" w:rsidP="002117D2">
            <w:pPr>
              <w:spacing w:line="262" w:lineRule="exact"/>
              <w:ind w:right="1"/>
              <w:jc w:val="center"/>
              <w:rPr>
                <w:rFonts w:eastAsiaTheme="minorHAnsi" w:cstheme="minorBidi"/>
                <w:spacing w:val="-1"/>
                <w:lang w:eastAsia="en-US"/>
              </w:rPr>
            </w:pPr>
            <w:r w:rsidRPr="002117D2">
              <w:rPr>
                <w:rFonts w:eastAsiaTheme="minorHAnsi" w:cstheme="minorBidi"/>
                <w:spacing w:val="-1"/>
                <w:lang w:eastAsia="en-US"/>
              </w:rPr>
              <w:t>1-4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7D2" w:rsidRPr="002117D2" w:rsidRDefault="002117D2" w:rsidP="002117D2">
            <w:pPr>
              <w:spacing w:line="259" w:lineRule="auto"/>
              <w:ind w:left="99" w:right="169"/>
              <w:jc w:val="center"/>
              <w:rPr>
                <w:rFonts w:cstheme="minorBidi"/>
                <w:b/>
                <w:lang w:eastAsia="en-US"/>
              </w:rPr>
            </w:pPr>
            <w:r w:rsidRPr="002117D2">
              <w:rPr>
                <w:rFonts w:eastAsiaTheme="minorHAnsi" w:cstheme="minorBidi"/>
                <w:b/>
                <w:lang w:val="ru-RU" w:eastAsia="en-US"/>
              </w:rPr>
              <w:t>2 909 080,82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7D2" w:rsidRPr="002117D2" w:rsidRDefault="002117D2" w:rsidP="002117D2">
            <w:pPr>
              <w:jc w:val="center"/>
              <w:rPr>
                <w:rFonts w:eastAsiaTheme="minorHAnsi" w:cstheme="minorBidi"/>
                <w:b/>
                <w:lang w:val="ru-RU" w:eastAsia="en-US"/>
              </w:rPr>
            </w:pPr>
            <w:r w:rsidRPr="002117D2">
              <w:rPr>
                <w:rFonts w:eastAsiaTheme="minorHAnsi" w:cstheme="minorBidi"/>
                <w:b/>
                <w:lang w:val="ru-RU" w:eastAsia="en-US"/>
              </w:rPr>
              <w:t>2 909 080,82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17D2" w:rsidRPr="002117D2" w:rsidRDefault="002117D2" w:rsidP="002117D2">
            <w:pPr>
              <w:spacing w:line="262" w:lineRule="exact"/>
              <w:ind w:right="154"/>
              <w:jc w:val="both"/>
              <w:rPr>
                <w:rFonts w:eastAsia="Calibri"/>
                <w:lang w:eastAsia="en-US"/>
              </w:rPr>
            </w:pPr>
            <w:r w:rsidRPr="002117D2">
              <w:rPr>
                <w:rFonts w:eastAsia="Calibri"/>
                <w:lang w:eastAsia="en-US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2117D2" w:rsidRPr="002117D2" w:rsidRDefault="002117D2" w:rsidP="002117D2">
      <w:pPr>
        <w:jc w:val="both"/>
        <w:rPr>
          <w:rFonts w:eastAsiaTheme="minorHAnsi"/>
          <w:b/>
          <w:noProof/>
          <w:sz w:val="28"/>
          <w:szCs w:val="28"/>
          <w:lang w:eastAsia="en-US"/>
        </w:rPr>
      </w:pPr>
    </w:p>
    <w:sectPr w:rsidR="002117D2" w:rsidRPr="0021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2"/>
    <w:rsid w:val="00076914"/>
    <w:rsid w:val="002117D2"/>
    <w:rsid w:val="00315D75"/>
    <w:rsid w:val="0099436E"/>
    <w:rsid w:val="00D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9558-5D79-438E-88CB-75C663B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17D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2117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D6036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60368"/>
    <w:pPr>
      <w:widowControl w:val="0"/>
      <w:spacing w:after="560" w:line="276" w:lineRule="auto"/>
      <w:ind w:firstLine="400"/>
    </w:pPr>
    <w:rPr>
      <w:rFonts w:ascii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2021-04-27T08:53:00Z</dcterms:created>
  <dcterms:modified xsi:type="dcterms:W3CDTF">2021-04-27T09:28:00Z</dcterms:modified>
</cp:coreProperties>
</file>