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AB" w:rsidRDefault="00685AAB" w:rsidP="00685AAB">
      <w:pPr>
        <w:jc w:val="center"/>
        <w:rPr>
          <w:b/>
          <w:sz w:val="28"/>
        </w:rPr>
      </w:pPr>
      <w:r w:rsidRPr="008671DC">
        <w:rPr>
          <w:b/>
          <w:sz w:val="28"/>
        </w:rPr>
        <w:t>Обґрунтування технічних та якісних</w:t>
      </w:r>
    </w:p>
    <w:p w:rsidR="00685AAB" w:rsidRPr="008671DC" w:rsidRDefault="00685AAB" w:rsidP="00685AAB">
      <w:pPr>
        <w:jc w:val="center"/>
        <w:rPr>
          <w:b/>
          <w:caps/>
          <w:sz w:val="28"/>
        </w:rPr>
      </w:pPr>
      <w:r w:rsidRPr="008671DC">
        <w:rPr>
          <w:b/>
          <w:sz w:val="28"/>
        </w:rPr>
        <w:t xml:space="preserve"> характеристик предмета закупівлі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8671DC">
        <w:rPr>
          <w:b/>
          <w:bCs/>
          <w:sz w:val="28"/>
          <w:szCs w:val="28"/>
        </w:rPr>
        <w:t xml:space="preserve">од </w:t>
      </w:r>
      <w:r w:rsidRPr="008671DC">
        <w:rPr>
          <w:b/>
          <w:bCs/>
          <w:caps/>
          <w:sz w:val="28"/>
          <w:szCs w:val="28"/>
        </w:rPr>
        <w:t>ДК 021:2015 – 33680000-0, Фармацевтичні вироби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671DC">
        <w:rPr>
          <w:b/>
          <w:bCs/>
          <w:caps/>
          <w:sz w:val="28"/>
          <w:szCs w:val="28"/>
        </w:rPr>
        <w:t>(</w:t>
      </w:r>
      <w:r w:rsidRPr="00685AAB">
        <w:rPr>
          <w:b/>
          <w:bCs/>
          <w:caps/>
          <w:sz w:val="28"/>
          <w:szCs w:val="28"/>
        </w:rPr>
        <w:t>Септи (покриття)</w:t>
      </w:r>
      <w:r w:rsidRPr="008671DC">
        <w:rPr>
          <w:b/>
          <w:bCs/>
          <w:caps/>
          <w:sz w:val="28"/>
          <w:szCs w:val="28"/>
        </w:rPr>
        <w:t>)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685AAB" w:rsidRPr="00685AAB" w:rsidRDefault="00685AAB" w:rsidP="00685AAB">
      <w:pPr>
        <w:spacing w:after="160" w:line="259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(НОМЕР/ІДЕНТИФІКАТОР ЗАКУПІВЛІ</w:t>
      </w:r>
      <w:r>
        <w:rPr>
          <w:rFonts w:eastAsiaTheme="minorHAnsi"/>
          <w:b/>
          <w:bCs/>
          <w:caps/>
          <w:sz w:val="28"/>
          <w:szCs w:val="28"/>
          <w:lang w:eastAsia="en-US"/>
        </w:rPr>
        <w:t xml:space="preserve"> </w:t>
      </w: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UA-2021-04-23-003016-c</w:t>
      </w: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)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685AAB" w:rsidRDefault="00685AAB" w:rsidP="00685AAB">
      <w:pPr>
        <w:widowControl w:val="0"/>
        <w:autoSpaceDE w:val="0"/>
        <w:autoSpaceDN w:val="0"/>
        <w:adjustRightInd w:val="0"/>
      </w:pPr>
      <w: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685AAB" w:rsidRPr="008D6CD2" w:rsidRDefault="00685AAB" w:rsidP="00E8053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imSun"/>
          <w:b/>
          <w:spacing w:val="9"/>
          <w:sz w:val="28"/>
          <w:szCs w:val="28"/>
          <w:lang w:eastAsia="en-US"/>
        </w:rPr>
      </w:pP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Септа</w:t>
      </w:r>
      <w:r w:rsidRPr="008671DC">
        <w:rPr>
          <w:rFonts w:eastAsia="SimSun"/>
          <w:b/>
          <w:noProof/>
          <w:spacing w:val="7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(покриття)</w:t>
      </w:r>
      <w:r w:rsidRPr="008671DC">
        <w:rPr>
          <w:rFonts w:eastAsia="SimSun"/>
          <w:b/>
          <w:noProof/>
          <w:spacing w:val="9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для</w:t>
      </w:r>
      <w:r w:rsidRPr="008671DC">
        <w:rPr>
          <w:rFonts w:eastAsia="SimSun"/>
          <w:b/>
          <w:noProof/>
          <w:spacing w:val="12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пла</w:t>
      </w:r>
      <w:bookmarkStart w:id="0" w:name="_GoBack"/>
      <w:bookmarkEnd w:id="0"/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шок</w:t>
      </w:r>
      <w:r w:rsidRPr="008671DC">
        <w:rPr>
          <w:rFonts w:eastAsia="SimSun"/>
          <w:b/>
          <w:noProof/>
          <w:spacing w:val="10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96-Well</w:t>
      </w:r>
      <w:r w:rsidRPr="008671DC">
        <w:rPr>
          <w:rFonts w:eastAsia="SimSun"/>
          <w:b/>
          <w:noProof/>
          <w:spacing w:val="8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z w:val="28"/>
          <w:szCs w:val="28"/>
          <w:lang w:eastAsia="en-US"/>
        </w:rPr>
        <w:t>Plate</w:t>
      </w:r>
      <w:r w:rsidRPr="008671DC">
        <w:rPr>
          <w:rFonts w:eastAsia="SimSun"/>
          <w:b/>
          <w:noProof/>
          <w:spacing w:val="10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 xml:space="preserve">Septa </w:t>
      </w:r>
      <w:r w:rsidRPr="008671DC">
        <w:rPr>
          <w:rFonts w:eastAsia="SimSun"/>
          <w:b/>
          <w:noProof/>
          <w:sz w:val="28"/>
          <w:szCs w:val="28"/>
          <w:lang w:eastAsia="en-US"/>
        </w:rPr>
        <w:t>або</w:t>
      </w:r>
      <w:r w:rsidRPr="008671DC">
        <w:rPr>
          <w:rFonts w:eastAsia="SimSun"/>
          <w:b/>
          <w:noProof/>
          <w:spacing w:val="9"/>
          <w:sz w:val="28"/>
          <w:szCs w:val="28"/>
          <w:lang w:eastAsia="en-US"/>
        </w:rPr>
        <w:t xml:space="preserve"> </w:t>
      </w:r>
      <w:r w:rsidRPr="008671DC">
        <w:rPr>
          <w:rFonts w:eastAsia="SimSun"/>
          <w:b/>
          <w:noProof/>
          <w:spacing w:val="-1"/>
          <w:sz w:val="28"/>
          <w:szCs w:val="28"/>
          <w:lang w:eastAsia="en-US"/>
        </w:rPr>
        <w:t>еквівалент</w:t>
      </w:r>
      <w:r w:rsidRPr="008671DC">
        <w:rPr>
          <w:b/>
          <w:bCs/>
          <w:spacing w:val="-2"/>
          <w:sz w:val="28"/>
          <w:szCs w:val="28"/>
          <w:lang w:eastAsia="en-US"/>
        </w:rPr>
        <w:t xml:space="preserve"> – 30</w:t>
      </w:r>
      <w:r w:rsidRPr="008671DC">
        <w:rPr>
          <w:rFonts w:eastAsia="SimSun"/>
          <w:b/>
          <w:spacing w:val="9"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pacing w:val="9"/>
          <w:sz w:val="28"/>
          <w:szCs w:val="28"/>
          <w:lang w:eastAsia="en-US"/>
        </w:rPr>
        <w:t>уп</w:t>
      </w:r>
      <w:proofErr w:type="spellEnd"/>
      <w:r w:rsidRPr="008D6CD2">
        <w:rPr>
          <w:rFonts w:eastAsia="SimSun"/>
          <w:b/>
          <w:spacing w:val="-1"/>
          <w:sz w:val="28"/>
          <w:szCs w:val="28"/>
          <w:lang w:eastAsia="en-US"/>
        </w:rPr>
        <w:t>.</w:t>
      </w:r>
    </w:p>
    <w:tbl>
      <w:tblPr>
        <w:tblW w:w="9496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753"/>
      </w:tblGrid>
      <w:tr w:rsidR="00685AAB" w:rsidRPr="008671DC" w:rsidTr="00685AAB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8671DC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8671DC">
              <w:rPr>
                <w:b/>
              </w:rPr>
              <w:t>Технічні (якісні)</w:t>
            </w:r>
          </w:p>
          <w:p w:rsidR="00685AAB" w:rsidRPr="008671DC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8671DC">
              <w:rPr>
                <w:b/>
              </w:rPr>
              <w:t>характеристики</w:t>
            </w:r>
          </w:p>
          <w:p w:rsidR="00685AAB" w:rsidRPr="008671DC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8671DC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8671DC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8671DC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85AAB" w:rsidRPr="008671DC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8671DC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85AAB" w:rsidRPr="008671DC" w:rsidTr="00685AAB">
        <w:trPr>
          <w:trHeight w:val="351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sz w:val="28"/>
                <w:szCs w:val="28"/>
                <w:lang w:val="en-US"/>
              </w:rPr>
            </w:pPr>
            <w:r w:rsidRPr="008671DC">
              <w:rPr>
                <w:rFonts w:eastAsia="Calibri"/>
                <w:spacing w:val="-1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8671DC">
              <w:rPr>
                <w:noProof/>
                <w:spacing w:val="-1"/>
                <w:sz w:val="28"/>
                <w:szCs w:val="28"/>
              </w:rPr>
              <w:t>Спеціальне</w:t>
            </w:r>
            <w:r w:rsidRPr="008671DC">
              <w:rPr>
                <w:noProof/>
                <w:spacing w:val="7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гумове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покриття</w:t>
            </w:r>
            <w:r w:rsidRPr="008671DC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2"/>
                <w:sz w:val="28"/>
                <w:szCs w:val="28"/>
              </w:rPr>
              <w:t>для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застосування</w:t>
            </w:r>
            <w:r w:rsidRPr="008671DC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з</w:t>
            </w:r>
            <w:r w:rsidRPr="008671DC">
              <w:rPr>
                <w:noProof/>
                <w:spacing w:val="47"/>
                <w:w w:val="10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генетичними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аналізаторами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Applied</w:t>
            </w:r>
            <w:r w:rsidRPr="008671DC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Biosystems</w:t>
            </w:r>
            <w:r w:rsidRPr="008671DC">
              <w:rPr>
                <w:noProof/>
                <w:spacing w:val="13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серії</w:t>
            </w:r>
            <w:r w:rsidRPr="008671DC">
              <w:rPr>
                <w:noProof/>
                <w:spacing w:val="41"/>
                <w:w w:val="10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31хх/3500.</w:t>
            </w:r>
          </w:p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671DC">
              <w:rPr>
                <w:noProof/>
                <w:spacing w:val="-1"/>
                <w:sz w:val="28"/>
                <w:szCs w:val="28"/>
              </w:rPr>
              <w:t>Повинні</w:t>
            </w:r>
            <w:r w:rsidRPr="008671DC">
              <w:rPr>
                <w:noProof/>
                <w:spacing w:val="14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бути</w:t>
            </w:r>
            <w:r w:rsidRPr="008671DC">
              <w:rPr>
                <w:noProof/>
                <w:spacing w:val="8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сумісними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з</w:t>
            </w:r>
            <w:r w:rsidRPr="008671DC">
              <w:rPr>
                <w:noProof/>
                <w:spacing w:val="8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96-луночними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плашками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671DC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8671DC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септ</w:t>
            </w:r>
            <w:r w:rsidRPr="008671DC"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8671DC">
              <w:rPr>
                <w:noProof/>
                <w:spacing w:val="-1"/>
                <w:sz w:val="28"/>
                <w:szCs w:val="28"/>
              </w:rPr>
              <w:t xml:space="preserve">упаковці не менше </w:t>
            </w:r>
            <w:r w:rsidRPr="008671DC">
              <w:rPr>
                <w:noProof/>
                <w:sz w:val="28"/>
                <w:szCs w:val="28"/>
              </w:rPr>
              <w:t>20</w:t>
            </w:r>
            <w:r w:rsidRPr="008671DC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шт.</w:t>
            </w:r>
            <w:r w:rsidRPr="008671DC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/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3"/>
                <w:sz w:val="28"/>
                <w:szCs w:val="28"/>
              </w:rPr>
              <w:t>уп.</w:t>
            </w:r>
          </w:p>
          <w:p w:rsidR="00685AAB" w:rsidRPr="008671DC" w:rsidRDefault="00685AAB" w:rsidP="00FB104F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671DC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капілярного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електрофорезу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«Методики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685AAB" w:rsidRDefault="00685AAB" w:rsidP="00685AAB">
      <w:pPr>
        <w:rPr>
          <w:rFonts w:eastAsia="Calibri"/>
          <w:b/>
          <w:noProof/>
          <w:spacing w:val="-1"/>
          <w:sz w:val="28"/>
          <w:szCs w:val="28"/>
        </w:rPr>
      </w:pPr>
    </w:p>
    <w:p w:rsidR="00685AAB" w:rsidRDefault="00685AAB" w:rsidP="00E8053C">
      <w:pPr>
        <w:jc w:val="both"/>
      </w:pPr>
      <w:r w:rsidRPr="008671DC">
        <w:rPr>
          <w:rFonts w:eastAsia="Calibri"/>
          <w:b/>
          <w:noProof/>
          <w:spacing w:val="-1"/>
          <w:sz w:val="28"/>
          <w:szCs w:val="28"/>
        </w:rPr>
        <w:t xml:space="preserve">2. </w:t>
      </w:r>
      <w:r w:rsidRPr="008671DC">
        <w:rPr>
          <w:b/>
          <w:noProof/>
          <w:spacing w:val="-1"/>
          <w:sz w:val="28"/>
          <w:szCs w:val="28"/>
        </w:rPr>
        <w:t>Септа</w:t>
      </w:r>
      <w:r w:rsidRPr="008671DC">
        <w:rPr>
          <w:b/>
          <w:noProof/>
          <w:spacing w:val="8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(покриття)</w:t>
      </w:r>
      <w:r w:rsidRPr="008671DC">
        <w:rPr>
          <w:b/>
          <w:noProof/>
          <w:spacing w:val="10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для</w:t>
      </w:r>
      <w:r w:rsidRPr="008671DC">
        <w:rPr>
          <w:b/>
          <w:noProof/>
          <w:spacing w:val="11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резервуара</w:t>
      </w:r>
      <w:r w:rsidRPr="008671DC">
        <w:rPr>
          <w:b/>
          <w:noProof/>
          <w:spacing w:val="9"/>
          <w:sz w:val="28"/>
          <w:szCs w:val="28"/>
        </w:rPr>
        <w:t xml:space="preserve"> </w:t>
      </w:r>
      <w:r w:rsidRPr="008671DC">
        <w:rPr>
          <w:b/>
          <w:noProof/>
          <w:sz w:val="28"/>
          <w:szCs w:val="28"/>
        </w:rPr>
        <w:t>з</w:t>
      </w:r>
      <w:r w:rsidRPr="008671DC">
        <w:rPr>
          <w:b/>
          <w:noProof/>
          <w:spacing w:val="7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буфером</w:t>
      </w:r>
      <w:r w:rsidRPr="008671DC">
        <w:rPr>
          <w:b/>
          <w:noProof/>
          <w:spacing w:val="33"/>
          <w:w w:val="101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Reservoir</w:t>
      </w:r>
      <w:r w:rsidRPr="008671DC">
        <w:rPr>
          <w:b/>
          <w:noProof/>
          <w:spacing w:val="10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Septa</w:t>
      </w:r>
      <w:r w:rsidRPr="008671DC">
        <w:rPr>
          <w:b/>
          <w:noProof/>
          <w:spacing w:val="10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або</w:t>
      </w:r>
      <w:r w:rsidRPr="008671DC">
        <w:rPr>
          <w:b/>
          <w:noProof/>
          <w:spacing w:val="8"/>
          <w:sz w:val="28"/>
          <w:szCs w:val="28"/>
        </w:rPr>
        <w:t xml:space="preserve"> </w:t>
      </w:r>
      <w:r w:rsidRPr="008671DC">
        <w:rPr>
          <w:b/>
          <w:noProof/>
          <w:spacing w:val="-1"/>
          <w:sz w:val="28"/>
          <w:szCs w:val="28"/>
        </w:rPr>
        <w:t>еквівалент</w:t>
      </w:r>
      <w:r w:rsidRPr="008671DC">
        <w:rPr>
          <w:rFonts w:eastAsia="Calibri"/>
          <w:b/>
          <w:noProof/>
          <w:spacing w:val="-1"/>
          <w:sz w:val="28"/>
          <w:szCs w:val="28"/>
        </w:rPr>
        <w:t xml:space="preserve"> – 7 </w:t>
      </w:r>
      <w:r>
        <w:rPr>
          <w:rFonts w:eastAsia="Calibri"/>
          <w:b/>
          <w:noProof/>
          <w:spacing w:val="-1"/>
          <w:sz w:val="28"/>
          <w:szCs w:val="28"/>
        </w:rPr>
        <w:t>уп</w:t>
      </w:r>
      <w:r w:rsidRPr="008671DC">
        <w:rPr>
          <w:rFonts w:eastAsia="Calibri"/>
          <w:b/>
          <w:noProof/>
          <w:spacing w:val="-1"/>
          <w:sz w:val="28"/>
          <w:szCs w:val="28"/>
        </w:rPr>
        <w:t>.</w:t>
      </w:r>
    </w:p>
    <w:tbl>
      <w:tblPr>
        <w:tblW w:w="949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2752"/>
      </w:tblGrid>
      <w:tr w:rsidR="00685AAB" w:rsidTr="00685AAB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AAB" w:rsidRDefault="00685AAB" w:rsidP="00FB104F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AAB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Технічні (якісні)</w:t>
            </w:r>
          </w:p>
          <w:p w:rsidR="00685AAB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  <w:p w:rsidR="00685AAB" w:rsidRDefault="00685AAB" w:rsidP="00FB104F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85AAB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85AAB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85AAB" w:rsidRDefault="00685AAB" w:rsidP="00FB104F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85AAB" w:rsidRPr="008671DC" w:rsidTr="00685AAB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</w:pPr>
            <w:r w:rsidRPr="008671DC"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noProof/>
                <w:spacing w:val="-1"/>
                <w:sz w:val="28"/>
                <w:szCs w:val="28"/>
              </w:rPr>
            </w:pPr>
            <w:r w:rsidRPr="008671DC">
              <w:rPr>
                <w:noProof/>
                <w:spacing w:val="-1"/>
                <w:sz w:val="28"/>
                <w:szCs w:val="28"/>
              </w:rPr>
              <w:t>Спеціальне</w:t>
            </w:r>
            <w:r w:rsidRPr="008671DC">
              <w:rPr>
                <w:noProof/>
                <w:spacing w:val="5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гумове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покриття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2"/>
                <w:sz w:val="28"/>
                <w:szCs w:val="28"/>
              </w:rPr>
              <w:t>для</w:t>
            </w:r>
            <w:r w:rsidRPr="008671DC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застосування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на</w:t>
            </w:r>
            <w:r w:rsidRPr="008671DC">
              <w:rPr>
                <w:noProof/>
                <w:spacing w:val="49"/>
                <w:w w:val="10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генетичних</w:t>
            </w:r>
            <w:r w:rsidRPr="008671DC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аналізаторах</w:t>
            </w:r>
            <w:r w:rsidRPr="008671DC">
              <w:rPr>
                <w:noProof/>
                <w:spacing w:val="12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Applied</w:t>
            </w:r>
            <w:r w:rsidRPr="008671DC">
              <w:rPr>
                <w:noProof/>
                <w:spacing w:val="9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Biosystems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серії</w:t>
            </w:r>
            <w:r w:rsidRPr="008671DC">
              <w:rPr>
                <w:noProof/>
                <w:spacing w:val="31"/>
                <w:w w:val="10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31хх.</w:t>
            </w:r>
          </w:p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671DC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8671DC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септ</w:t>
            </w:r>
            <w:r w:rsidRPr="008671DC"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8671DC">
              <w:rPr>
                <w:noProof/>
                <w:spacing w:val="-1"/>
                <w:sz w:val="28"/>
                <w:szCs w:val="28"/>
              </w:rPr>
              <w:t xml:space="preserve">упаковці не менше </w:t>
            </w:r>
            <w:r w:rsidRPr="008671DC">
              <w:rPr>
                <w:noProof/>
                <w:sz w:val="28"/>
                <w:szCs w:val="28"/>
              </w:rPr>
              <w:t>20</w:t>
            </w:r>
            <w:r w:rsidRPr="008671DC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1"/>
                <w:sz w:val="28"/>
                <w:szCs w:val="28"/>
              </w:rPr>
              <w:t>шт.</w:t>
            </w:r>
            <w:r w:rsidRPr="008671DC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8671DC">
              <w:rPr>
                <w:noProof/>
                <w:sz w:val="28"/>
                <w:szCs w:val="28"/>
              </w:rPr>
              <w:t>/</w:t>
            </w:r>
            <w:r w:rsidRPr="008671DC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8671DC">
              <w:rPr>
                <w:noProof/>
                <w:spacing w:val="-3"/>
                <w:sz w:val="28"/>
                <w:szCs w:val="28"/>
              </w:rPr>
              <w:t>уп.</w:t>
            </w:r>
          </w:p>
          <w:p w:rsidR="00685AAB" w:rsidRPr="008671DC" w:rsidRDefault="00685AAB" w:rsidP="00FB104F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5AAB" w:rsidRPr="008671DC" w:rsidRDefault="00685AAB" w:rsidP="00FB104F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8671DC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капілярного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електрофорезу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«Методики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8671DC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8671DC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685AAB" w:rsidRDefault="00685AAB"/>
    <w:p w:rsidR="00685AAB" w:rsidRPr="00685AAB" w:rsidRDefault="00685AAB" w:rsidP="00685AAB">
      <w:pPr>
        <w:ind w:firstLine="6804"/>
        <w:contextualSpacing/>
        <w:rPr>
          <w:sz w:val="28"/>
          <w:szCs w:val="28"/>
          <w:lang w:eastAsia="x-none"/>
        </w:rPr>
      </w:pPr>
      <w:r>
        <w:br w:type="column"/>
      </w:r>
    </w:p>
    <w:p w:rsidR="00685AAB" w:rsidRP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AAB" w:rsidRP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AAB">
        <w:rPr>
          <w:b/>
          <w:sz w:val="28"/>
          <w:szCs w:val="28"/>
        </w:rPr>
        <w:t>Обґрунтування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AAB">
        <w:rPr>
          <w:b/>
          <w:sz w:val="28"/>
          <w:szCs w:val="28"/>
        </w:rPr>
        <w:t xml:space="preserve"> розміру бюджетного призначення та очікуваної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AAB">
        <w:rPr>
          <w:b/>
          <w:sz w:val="28"/>
          <w:szCs w:val="28"/>
        </w:rPr>
        <w:t xml:space="preserve"> вартості предмета закупівлі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rPr>
          <w:b/>
          <w:sz w:val="28"/>
          <w:szCs w:val="28"/>
        </w:rPr>
        <w:t>К</w:t>
      </w:r>
      <w:r w:rsidRPr="00685AAB">
        <w:rPr>
          <w:b/>
          <w:sz w:val="28"/>
          <w:szCs w:val="28"/>
        </w:rPr>
        <w:t xml:space="preserve">од </w:t>
      </w: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ДК 021:2015 – 33680000-0, Фармацевтичні вироби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671DC">
        <w:rPr>
          <w:b/>
          <w:bCs/>
          <w:caps/>
          <w:sz w:val="28"/>
          <w:szCs w:val="28"/>
        </w:rPr>
        <w:t>(</w:t>
      </w:r>
      <w:r w:rsidRPr="00685AAB">
        <w:rPr>
          <w:b/>
          <w:bCs/>
          <w:caps/>
          <w:sz w:val="28"/>
          <w:szCs w:val="28"/>
        </w:rPr>
        <w:t>Септи (покриття)</w:t>
      </w:r>
      <w:r w:rsidRPr="008671DC">
        <w:rPr>
          <w:b/>
          <w:bCs/>
          <w:caps/>
          <w:sz w:val="28"/>
          <w:szCs w:val="28"/>
        </w:rPr>
        <w:t>)</w:t>
      </w:r>
    </w:p>
    <w:p w:rsidR="00685AAB" w:rsidRDefault="00685AAB" w:rsidP="00685AA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AAB" w:rsidRPr="00685AAB" w:rsidRDefault="00685AAB" w:rsidP="00685AAB">
      <w:pPr>
        <w:spacing w:after="160" w:line="259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(НОМЕР/ІДЕНТИФІКАТОР ЗАКУПІВЛІ</w:t>
      </w:r>
      <w:r>
        <w:rPr>
          <w:rFonts w:eastAsiaTheme="minorHAnsi"/>
          <w:b/>
          <w:bCs/>
          <w:caps/>
          <w:sz w:val="28"/>
          <w:szCs w:val="28"/>
          <w:lang w:eastAsia="en-US"/>
        </w:rPr>
        <w:t xml:space="preserve"> </w:t>
      </w:r>
      <w:r w:rsidRPr="00685AAB">
        <w:rPr>
          <w:rFonts w:eastAsiaTheme="minorHAnsi"/>
          <w:b/>
          <w:bCs/>
          <w:caps/>
          <w:sz w:val="28"/>
          <w:szCs w:val="28"/>
          <w:lang w:eastAsia="en-US"/>
        </w:rPr>
        <w:t>UA-2021-04-23-003016-c)</w:t>
      </w:r>
    </w:p>
    <w:p w:rsidR="00BE5DCE" w:rsidRPr="00BE5DCE" w:rsidRDefault="00BE5DCE" w:rsidP="00BE5DCE">
      <w:pPr>
        <w:widowControl w:val="0"/>
        <w:jc w:val="center"/>
        <w:rPr>
          <w:u w:val="single"/>
        </w:rPr>
      </w:pPr>
      <w:r w:rsidRPr="00BE5DCE">
        <w:rPr>
          <w:u w:val="single"/>
        </w:rPr>
        <w:t>1 016 960,65</w:t>
      </w:r>
      <w:r>
        <w:rPr>
          <w:u w:val="single"/>
        </w:rPr>
        <w:t xml:space="preserve"> </w:t>
      </w:r>
      <w:r w:rsidRPr="00BE5DCE">
        <w:rPr>
          <w:u w:val="single"/>
        </w:rPr>
        <w:t>грн з ПДВ</w:t>
      </w:r>
    </w:p>
    <w:p w:rsidR="00BE5DCE" w:rsidRPr="00BE5DCE" w:rsidRDefault="00BE5DCE" w:rsidP="00BE5DCE">
      <w:pPr>
        <w:widowControl w:val="0"/>
        <w:jc w:val="center"/>
        <w:rPr>
          <w:sz w:val="28"/>
          <w:szCs w:val="28"/>
        </w:rPr>
      </w:pPr>
      <w:r w:rsidRPr="00BE5DCE">
        <w:rPr>
          <w:sz w:val="20"/>
          <w:szCs w:val="28"/>
        </w:rPr>
        <w:t>(загальна очікувана вартість предмета закупівлі)</w:t>
      </w:r>
      <w:r w:rsidRPr="00BE5DCE">
        <w:rPr>
          <w:sz w:val="28"/>
          <w:szCs w:val="28"/>
        </w:rPr>
        <w:t xml:space="preserve"> </w:t>
      </w:r>
    </w:p>
    <w:p w:rsidR="00BE5DCE" w:rsidRPr="00685AAB" w:rsidRDefault="00BE5DCE" w:rsidP="00685AAB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5AAB" w:rsidRPr="00685AAB" w:rsidRDefault="00685AAB" w:rsidP="00685AAB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pacing w:val="-1"/>
          <w:sz w:val="28"/>
          <w:szCs w:val="28"/>
        </w:rPr>
      </w:pP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1. Септа</w:t>
      </w:r>
      <w:r w:rsidRPr="00685AAB">
        <w:rPr>
          <w:rFonts w:eastAsiaTheme="minorHAnsi" w:cstheme="minorBidi"/>
          <w:noProof/>
          <w:spacing w:val="7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(покриття)</w:t>
      </w:r>
      <w:r w:rsidRPr="00685AAB">
        <w:rPr>
          <w:rFonts w:eastAsiaTheme="minorHAnsi" w:cstheme="minorBidi"/>
          <w:noProof/>
          <w:spacing w:val="9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для</w:t>
      </w:r>
      <w:r w:rsidRPr="00685AAB">
        <w:rPr>
          <w:rFonts w:eastAsiaTheme="minorHAnsi" w:cstheme="minorBidi"/>
          <w:noProof/>
          <w:spacing w:val="12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плашок</w:t>
      </w:r>
      <w:r w:rsidRPr="00685AAB">
        <w:rPr>
          <w:rFonts w:eastAsiaTheme="minorHAnsi" w:cstheme="minorBidi"/>
          <w:noProof/>
          <w:spacing w:val="10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96-Well</w:t>
      </w:r>
      <w:r w:rsidRPr="00685AAB">
        <w:rPr>
          <w:rFonts w:eastAsiaTheme="minorHAnsi" w:cstheme="minorBidi"/>
          <w:noProof/>
          <w:spacing w:val="8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z w:val="28"/>
          <w:szCs w:val="28"/>
          <w:lang w:eastAsia="en-US"/>
        </w:rPr>
        <w:t>Plate</w:t>
      </w:r>
      <w:r w:rsidRPr="00685AAB">
        <w:rPr>
          <w:rFonts w:eastAsiaTheme="minorHAnsi" w:cstheme="minorBidi"/>
          <w:noProof/>
          <w:spacing w:val="10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 xml:space="preserve">Septa </w:t>
      </w:r>
      <w:r w:rsidRPr="00685AAB">
        <w:rPr>
          <w:rFonts w:eastAsiaTheme="minorHAnsi" w:cstheme="minorBidi"/>
          <w:noProof/>
          <w:sz w:val="28"/>
          <w:szCs w:val="28"/>
          <w:lang w:eastAsia="en-US"/>
        </w:rPr>
        <w:t>або</w:t>
      </w:r>
      <w:r w:rsidRPr="00685AAB">
        <w:rPr>
          <w:rFonts w:eastAsiaTheme="minorHAnsi" w:cstheme="minorBidi"/>
          <w:noProof/>
          <w:spacing w:val="9"/>
          <w:sz w:val="28"/>
          <w:szCs w:val="28"/>
          <w:lang w:eastAsia="en-US"/>
        </w:rPr>
        <w:t xml:space="preserve"> </w:t>
      </w:r>
      <w:r w:rsidRPr="00685AAB">
        <w:rPr>
          <w:rFonts w:eastAsiaTheme="minorHAnsi" w:cstheme="minorBidi"/>
          <w:noProof/>
          <w:spacing w:val="-1"/>
          <w:sz w:val="28"/>
          <w:szCs w:val="28"/>
          <w:lang w:eastAsia="en-US"/>
        </w:rPr>
        <w:t>еквівалент</w:t>
      </w:r>
      <w:r w:rsidRPr="00685AAB">
        <w:rPr>
          <w:rFonts w:asciiTheme="minorHAnsi" w:hAnsiTheme="minorHAnsi" w:cstheme="minorBidi"/>
          <w:bCs/>
          <w:spacing w:val="-2"/>
          <w:sz w:val="28"/>
          <w:szCs w:val="28"/>
          <w:lang w:eastAsia="en-US"/>
        </w:rPr>
        <w:t xml:space="preserve"> </w:t>
      </w:r>
      <w:r w:rsidRPr="00685AAB">
        <w:rPr>
          <w:bCs/>
          <w:spacing w:val="-2"/>
          <w:sz w:val="28"/>
          <w:szCs w:val="28"/>
          <w:lang w:eastAsia="en-US"/>
        </w:rPr>
        <w:t>– 30</w:t>
      </w:r>
      <w:r w:rsidRPr="00685AAB">
        <w:rPr>
          <w:rFonts w:eastAsiaTheme="minorHAnsi"/>
          <w:spacing w:val="9"/>
          <w:sz w:val="28"/>
          <w:szCs w:val="28"/>
          <w:lang w:eastAsia="en-US"/>
        </w:rPr>
        <w:t xml:space="preserve"> </w:t>
      </w:r>
      <w:proofErr w:type="spellStart"/>
      <w:r w:rsidRPr="00685AAB">
        <w:rPr>
          <w:rFonts w:eastAsiaTheme="minorHAnsi"/>
          <w:spacing w:val="9"/>
          <w:sz w:val="28"/>
          <w:szCs w:val="28"/>
          <w:lang w:eastAsia="en-US"/>
        </w:rPr>
        <w:t>уп</w:t>
      </w:r>
      <w:proofErr w:type="spellEnd"/>
      <w:r w:rsidRPr="00685AAB">
        <w:rPr>
          <w:rFonts w:eastAsiaTheme="minorHAnsi"/>
          <w:spacing w:val="-1"/>
          <w:sz w:val="28"/>
          <w:szCs w:val="28"/>
          <w:lang w:eastAsia="en-US"/>
        </w:rPr>
        <w:t>.</w:t>
      </w:r>
      <w:r w:rsidRPr="00685AAB">
        <w:rPr>
          <w:rFonts w:eastAsiaTheme="minorHAnsi" w:cstheme="minorBidi"/>
          <w:sz w:val="28"/>
          <w:szCs w:val="28"/>
          <w:lang w:eastAsia="en-US"/>
        </w:rPr>
        <w:t>;</w:t>
      </w:r>
    </w:p>
    <w:p w:rsidR="00685AAB" w:rsidRPr="00685AAB" w:rsidRDefault="00685AAB" w:rsidP="00685AAB">
      <w:pPr>
        <w:widowControl w:val="0"/>
        <w:autoSpaceDE w:val="0"/>
        <w:autoSpaceDN w:val="0"/>
        <w:adjustRightInd w:val="0"/>
        <w:ind w:firstLine="567"/>
        <w:jc w:val="both"/>
        <w:rPr>
          <w:bCs/>
          <w:caps/>
          <w:sz w:val="20"/>
          <w:szCs w:val="20"/>
        </w:rPr>
      </w:pPr>
      <w:r w:rsidRPr="00685AAB">
        <w:rPr>
          <w:noProof/>
          <w:spacing w:val="-1"/>
          <w:sz w:val="28"/>
          <w:szCs w:val="28"/>
        </w:rPr>
        <w:t>2. Плашка для обладнання АВІ 31хх/3500 MicroAmp 96-Well Reaction Plate або еквівалент – 7 уп</w:t>
      </w:r>
      <w:r w:rsidRPr="00685AAB">
        <w:rPr>
          <w:rFonts w:eastAsiaTheme="minorHAnsi" w:cstheme="minorBidi"/>
          <w:sz w:val="28"/>
          <w:szCs w:val="28"/>
          <w:lang w:eastAsia="en-US"/>
        </w:rPr>
        <w:t>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685AAB" w:rsidRPr="00685AAB" w:rsidTr="00FB104F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5AAB" w:rsidRPr="00685AAB" w:rsidRDefault="00685AAB" w:rsidP="00685AAB">
            <w:pPr>
              <w:spacing w:line="260" w:lineRule="exact"/>
              <w:ind w:right="1"/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685AAB">
              <w:rPr>
                <w:rFonts w:eastAsiaTheme="minorHAnsi" w:cstheme="minorBidi"/>
                <w:b/>
                <w:lang w:eastAsia="en-US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5AAB" w:rsidRPr="00685AAB" w:rsidRDefault="00685AAB" w:rsidP="00685AAB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685AAB">
              <w:rPr>
                <w:rFonts w:cstheme="minorBidi"/>
                <w:b/>
                <w:lang w:eastAsia="en-US"/>
              </w:rPr>
              <w:t>Розмір бюджетного</w:t>
            </w:r>
          </w:p>
          <w:p w:rsidR="00685AAB" w:rsidRPr="00685AAB" w:rsidRDefault="00685AAB" w:rsidP="00685AAB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685AAB">
              <w:rPr>
                <w:rFonts w:cstheme="minorBidi"/>
                <w:b/>
                <w:lang w:eastAsia="en-US"/>
              </w:rPr>
              <w:t xml:space="preserve"> призначення</w:t>
            </w:r>
          </w:p>
          <w:p w:rsidR="00685AAB" w:rsidRPr="00685AAB" w:rsidRDefault="00685AAB" w:rsidP="00685AAB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685AAB" w:rsidRPr="00685AAB" w:rsidRDefault="00685AAB" w:rsidP="00685AAB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685AAB">
              <w:rPr>
                <w:rFonts w:eastAsiaTheme="minorHAnsi" w:cstheme="minorBidi"/>
                <w:b/>
                <w:spacing w:val="9"/>
                <w:lang w:eastAsia="en-US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685AAB" w:rsidRPr="00685AAB" w:rsidRDefault="00685AAB" w:rsidP="00685AAB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685AAB">
              <w:rPr>
                <w:rFonts w:eastAsiaTheme="minorHAnsi" w:cstheme="minorBidi"/>
                <w:b/>
                <w:spacing w:val="9"/>
                <w:lang w:eastAsia="en-US"/>
              </w:rPr>
              <w:t xml:space="preserve">Обґрунтування розміру очікуваної вартості </w:t>
            </w:r>
          </w:p>
          <w:p w:rsidR="00685AAB" w:rsidRPr="00685AAB" w:rsidRDefault="00685AAB" w:rsidP="00685AAB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</w:p>
        </w:tc>
      </w:tr>
      <w:tr w:rsidR="00685AAB" w:rsidRPr="00685AAB" w:rsidTr="00FB104F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AB" w:rsidRPr="00685AAB" w:rsidRDefault="00685AAB" w:rsidP="00685AAB">
            <w:pPr>
              <w:spacing w:line="262" w:lineRule="exact"/>
              <w:ind w:right="1"/>
              <w:jc w:val="center"/>
              <w:rPr>
                <w:rFonts w:eastAsiaTheme="minorHAnsi" w:cstheme="minorBidi"/>
                <w:spacing w:val="-1"/>
                <w:lang w:eastAsia="en-US"/>
              </w:rPr>
            </w:pPr>
            <w:r w:rsidRPr="00685AAB">
              <w:rPr>
                <w:rFonts w:eastAsiaTheme="minorHAnsi" w:cstheme="minorBidi"/>
                <w:spacing w:val="-1"/>
                <w:lang w:eastAsia="en-US"/>
              </w:rPr>
              <w:t>1-2.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AB" w:rsidRPr="00685AAB" w:rsidRDefault="00685AAB" w:rsidP="00685AAB">
            <w:pPr>
              <w:spacing w:line="259" w:lineRule="auto"/>
              <w:ind w:left="99" w:right="169"/>
              <w:jc w:val="center"/>
              <w:rPr>
                <w:rFonts w:cstheme="minorBidi"/>
                <w:b/>
                <w:lang w:eastAsia="en-US"/>
              </w:rPr>
            </w:pPr>
            <w:r w:rsidRPr="00685AAB">
              <w:rPr>
                <w:rFonts w:eastAsiaTheme="minorHAnsi" w:cstheme="minorBidi"/>
                <w:b/>
                <w:lang w:val="ru-RU" w:eastAsia="en-US"/>
              </w:rPr>
              <w:t>1 016 960,65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AB" w:rsidRPr="00685AAB" w:rsidRDefault="00685AAB" w:rsidP="00685AAB">
            <w:pPr>
              <w:jc w:val="center"/>
              <w:rPr>
                <w:rFonts w:eastAsiaTheme="minorHAnsi" w:cstheme="minorBidi"/>
                <w:b/>
                <w:lang w:val="ru-RU" w:eastAsia="en-US"/>
              </w:rPr>
            </w:pPr>
            <w:r w:rsidRPr="00685AAB">
              <w:rPr>
                <w:rFonts w:eastAsiaTheme="minorHAnsi" w:cstheme="minorBidi"/>
                <w:b/>
                <w:lang w:val="ru-RU" w:eastAsia="en-US"/>
              </w:rPr>
              <w:t>1 016 960,65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5AAB" w:rsidRPr="00685AAB" w:rsidRDefault="00685AAB" w:rsidP="00685AAB">
            <w:pPr>
              <w:spacing w:line="262" w:lineRule="exact"/>
              <w:ind w:right="154"/>
              <w:jc w:val="both"/>
              <w:rPr>
                <w:rFonts w:eastAsia="Calibri"/>
                <w:lang w:eastAsia="en-US"/>
              </w:rPr>
            </w:pPr>
            <w:r w:rsidRPr="00685AAB">
              <w:rPr>
                <w:rFonts w:eastAsia="Calibri"/>
                <w:lang w:eastAsia="en-US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315D75" w:rsidRDefault="00315D75"/>
    <w:sectPr w:rsidR="00315D75" w:rsidSect="00685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6FED"/>
    <w:multiLevelType w:val="hybridMultilevel"/>
    <w:tmpl w:val="5AD4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AB"/>
    <w:rsid w:val="00076914"/>
    <w:rsid w:val="00315D75"/>
    <w:rsid w:val="00685AAB"/>
    <w:rsid w:val="0099436E"/>
    <w:rsid w:val="00BE5DCE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EB0C-582C-43E4-BA71-18F438CF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85A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2021-04-26T08:47:00Z</dcterms:created>
  <dcterms:modified xsi:type="dcterms:W3CDTF">2021-04-26T09:09:00Z</dcterms:modified>
</cp:coreProperties>
</file>