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363525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– 30210000-4 Машини для обробки даних </w:t>
      </w:r>
    </w:p>
    <w:p w:rsidR="00363525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(апаратна частина)/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Data-processing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machines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hardware</w:t>
      </w:r>
      <w:proofErr w:type="spellEnd"/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sz w:val="28"/>
          <w:szCs w:val="28"/>
        </w:rPr>
        <w:t>(Персональні комп'ютери)</w:t>
      </w:r>
    </w:p>
    <w:p w:rsidR="00363525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</w:rPr>
        <w:t>-2021-07-26-006341-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63525" w:rsidRDefault="00363525" w:rsidP="003635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363525" w:rsidRPr="00E67CEE" w:rsidRDefault="00363525" w:rsidP="003635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63525" w:rsidRPr="00E67CEE" w:rsidRDefault="00363525" w:rsidP="0036352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Персональний комп’ютер</w:t>
      </w:r>
    </w:p>
    <w:p w:rsidR="00363525" w:rsidRPr="00E67CEE" w:rsidRDefault="00363525" w:rsidP="0036352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556"/>
        <w:gridCol w:w="3543"/>
      </w:tblGrid>
      <w:tr w:rsidR="00363525" w:rsidRPr="00E67CEE" w:rsidTr="00ED4F56">
        <w:trPr>
          <w:cantSplit/>
          <w:trHeight w:val="1198"/>
        </w:trPr>
        <w:tc>
          <w:tcPr>
            <w:tcW w:w="704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556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43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63525" w:rsidRPr="00E67CEE" w:rsidTr="00ED4F56">
        <w:trPr>
          <w:trHeight w:val="139"/>
        </w:trPr>
        <w:tc>
          <w:tcPr>
            <w:tcW w:w="704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63525" w:rsidRPr="00E67CEE" w:rsidRDefault="00363525" w:rsidP="00ED4F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525" w:rsidRPr="00E67CEE" w:rsidTr="00ED4F56">
        <w:trPr>
          <w:trHeight w:val="134"/>
        </w:trPr>
        <w:tc>
          <w:tcPr>
            <w:tcW w:w="704" w:type="dxa"/>
          </w:tcPr>
          <w:p w:rsidR="00363525" w:rsidRPr="008F7AF5" w:rsidRDefault="00363525" w:rsidP="00ED4F5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3525" w:rsidRPr="00E67CEE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  <w:tc>
          <w:tcPr>
            <w:tcW w:w="3556" w:type="dxa"/>
          </w:tcPr>
          <w:p w:rsidR="00363525" w:rsidRPr="00413645" w:rsidRDefault="00363525" w:rsidP="00ED4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63525" w:rsidRPr="009500D7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F7178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556" w:type="dxa"/>
          </w:tcPr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фізичних обчислювальних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не менше ніж 6; 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потоків: не менше ніж 12; 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 тактова частота - не менше ніж 2,9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525" w:rsidRPr="00277E28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об’єм кеш пам’яті 3-го рівня не менше ніж 12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63525" w:rsidRPr="001B17A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F7178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Материнська плата</w:t>
            </w:r>
          </w:p>
        </w:tc>
        <w:tc>
          <w:tcPr>
            <w:tcW w:w="3556" w:type="dxa"/>
          </w:tcPr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 вводу\виводу: 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D-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DVI;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HDMI;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RJ-45;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1 порт PS/2;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ніж 4 порти USB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нижче 3.1</w:t>
            </w: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2 порти USB 2.0;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ніж 3 Аудіо порти (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задній панелі та не менше ніж 2 Аудіо порти (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передній панелі системного блоку;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внутрішні порти не нижче ніж: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/s – не менше ніж 6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Слоти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розширення: не менше ніж 1 x 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PCIe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3.0/2.0 x16, не менше ніж 2 x PCI-</w:t>
            </w:r>
            <w:proofErr w:type="spellStart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Eх</w:t>
            </w:r>
            <w:proofErr w:type="spellEnd"/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3.0 x1, не менше ніж 1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SSD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накопичувача. Допускається наявність додаткових портів та роз’ємів.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Набір портів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необхідний для підключення зовнішніх та внутрішніх пристроїв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3A6282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556" w:type="dxa"/>
          </w:tcPr>
          <w:p w:rsidR="00363525" w:rsidRPr="0058684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об'єм пам'яті - не менше ніж 16 GB; </w:t>
            </w:r>
            <w:bookmarkStart w:id="0" w:name="_GoBack"/>
            <w:bookmarkEnd w:id="0"/>
          </w:p>
          <w:p w:rsidR="00363525" w:rsidRPr="0058684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пам'яті - не нижче ніж DDR4 </w:t>
            </w:r>
          </w:p>
          <w:p w:rsidR="00363525" w:rsidRPr="00CD69BF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пам'яті – не менше 2666 </w:t>
            </w:r>
            <w:proofErr w:type="spellStart"/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 w:val="restart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363525" w:rsidRPr="008B72B3" w:rsidRDefault="00363525" w:rsidP="00ED4F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3525" w:rsidRPr="001422A5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50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об'єм SSD - не менше ніж 250 GB, з показниками читання/запис не менше ніж 3200/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950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 МБ/с.</w:t>
            </w:r>
          </w:p>
        </w:tc>
        <w:tc>
          <w:tcPr>
            <w:tcW w:w="3543" w:type="dxa"/>
          </w:tcPr>
          <w:p w:rsidR="00363525" w:rsidRPr="00586845" w:rsidRDefault="00363525" w:rsidP="00ED4F5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швидкого завантаження та швидкої роботи операційної системи, прикладного програмного забезпечення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tabs>
                <w:tab w:val="left" w:pos="35"/>
              </w:tabs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58684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A5">
              <w:rPr>
                <w:rFonts w:ascii="Times New Roman" w:hAnsi="Times New Roman"/>
                <w:b/>
                <w:sz w:val="24"/>
                <w:szCs w:val="24"/>
              </w:rPr>
              <w:t xml:space="preserve">Тип носія </w:t>
            </w:r>
            <w:r w:rsidRPr="00142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HDD</w:t>
            </w:r>
            <w:r w:rsidRPr="001422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внутрішній, </w:t>
            </w:r>
            <w:r w:rsidRPr="009500D7">
              <w:rPr>
                <w:rFonts w:ascii="Times New Roman" w:hAnsi="Times New Roman"/>
                <w:sz w:val="24"/>
                <w:szCs w:val="24"/>
              </w:rPr>
              <w:t>місткість накопичувача: не менше 1 TB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тип: внутрішній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інтерфейс підключення: SATAIII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швидкість обертання шпинделя: 7200 об/хв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3525" w:rsidRPr="001422A5" w:rsidRDefault="00363525" w:rsidP="00ED4F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/>
                <w:sz w:val="24"/>
                <w:szCs w:val="24"/>
              </w:rPr>
              <w:t>обсяг буфера: не менше 64 МБ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363525" w:rsidRPr="00586845" w:rsidRDefault="00363525" w:rsidP="00ED4F5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значних за обсягами документів, які можуть містити велику кількість графічних зображень.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 w:val="restart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363525" w:rsidRPr="001A093B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1A093B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корпусу: ATX;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поширений стандарт корпусу, забезпечує  максимальну сумісність комплектуючих, можливість модернізації чи оновлення апаратної складової  комп’ютера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не менше ні</w:t>
            </w:r>
            <w:r>
              <w:rPr>
                <w:rFonts w:ascii="Times New Roman" w:hAnsi="Times New Roman"/>
                <w:sz w:val="24"/>
                <w:szCs w:val="24"/>
              </w:rPr>
              <w:t>ж 4-х внутрішніх відсіків 3,5”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додаткових носіїв інформації (жорстких дисків).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 ніж 4-x роз’ємів USB (не менше ніж один з яких формату USB3.1, та не менше ніж один USB 3.1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роз’ємів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Line-out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Порти та роз’єми на передній панелі необхідні д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апаратних ключів особистого цифрового підпису на захищених носіях що мають інтерфейс USB,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деяких працівників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2 і більше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, також для підключення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сучасного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обладнання, що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інтерфейс USB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-C;</w:t>
            </w:r>
          </w:p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акустичних систем чи гарнітури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дистанційних засідань, зборів, навчань, тощо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менше ніж 1-го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слота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3,5” не менше ніж  2-х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слотів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5,25”;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встановлення пристроїв для зчитування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карток пам’яті, оптичних дисків, карманів для жорстких дисків;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замку з комплектом ключів, який у закритому положенні блокує кнопку включення системного блоку;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 несанкціонованого включення комп’ютера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Матеріал корпусу: сталь. Товщина стінок не менше ніж 0,6 мм;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необхідної жорсткості корпусу протягом тривалого часу експлуатації.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  <w:vMerge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системи безпеки у виг</w:t>
            </w:r>
            <w:r>
              <w:rPr>
                <w:rFonts w:ascii="Times New Roman" w:hAnsi="Times New Roman"/>
                <w:sz w:val="24"/>
                <w:szCs w:val="24"/>
              </w:rPr>
              <w:t>ляді датчика відкриття корпусу.</w:t>
            </w:r>
          </w:p>
          <w:p w:rsidR="00363525" w:rsidRPr="008B72B3" w:rsidRDefault="00363525" w:rsidP="00ED4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Допускається використання додаткових панелей, наявність додаткових функціональних можливостей, технологій захисту, роз’ємів, портів.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доступу до комплектуючих та інформації, що зберігається на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8B72B3" w:rsidRDefault="00363525" w:rsidP="00ED4F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9500D7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живлення: потужністю не менше 500 Вт, вентилятор блоку живлення не менше 120 мм;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технологій захисту: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від короткого замикання (SCP);</w:t>
            </w:r>
          </w:p>
          <w:p w:rsidR="00363525" w:rsidRPr="009500D7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 від перевантаження через струм (OCP);</w:t>
            </w:r>
          </w:p>
          <w:p w:rsidR="00363525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перепадів напруги (OVP/UVP)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додаткових функцій.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CA2918" w:rsidRDefault="00363525" w:rsidP="00ED4F5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9500D7" w:rsidRDefault="00363525" w:rsidP="00ED4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в процесор, використання дискретного графічного адаптера не допускається.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монітор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Монітор:</w:t>
            </w:r>
            <w:r w:rsidRPr="00F5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Діагональ не менше ніж 23,8”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оновлення не нижче 60 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Максимальна роздільна здатність дисплея не менше 1920x1080;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дисплея 250 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/м², тип матриці IPS;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Інтерфейси: не менше ніж HDMI та VGA; 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Контрастність дисплея не нижче 1000:1 (</w:t>
            </w: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: 20000000:1);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Безрамковий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525" w:rsidRPr="00F540C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>Підсвітка</w:t>
            </w:r>
            <w:proofErr w:type="spellEnd"/>
            <w:r w:rsidRPr="00F540C0">
              <w:rPr>
                <w:rFonts w:ascii="Times New Roman" w:hAnsi="Times New Roman" w:cs="Times New Roman"/>
                <w:sz w:val="24"/>
                <w:szCs w:val="24"/>
              </w:rPr>
              <w:t xml:space="preserve"> WLED.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монітора з стандартними інтерфейсами з’єднання.</w:t>
            </w:r>
          </w:p>
          <w:p w:rsidR="00363525" w:rsidRPr="00F72BF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ергономічні показники. 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8E172A" w:rsidRDefault="00363525" w:rsidP="00ED4F5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013751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b/>
                <w:sz w:val="24"/>
                <w:szCs w:val="24"/>
              </w:rPr>
              <w:t>Операційна система:</w:t>
            </w:r>
          </w:p>
        </w:tc>
        <w:tc>
          <w:tcPr>
            <w:tcW w:w="3556" w:type="dxa"/>
          </w:tcPr>
          <w:p w:rsidR="00363525" w:rsidRPr="00CA2918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</w:t>
            </w:r>
            <w:r w:rsidRPr="0098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>ліцензі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ї, </w:t>
            </w:r>
            <w:r w:rsidRPr="00013751">
              <w:rPr>
                <w:rFonts w:ascii="Times New Roman" w:hAnsi="Times New Roman" w:cs="Times New Roman"/>
                <w:sz w:val="24"/>
                <w:szCs w:val="24"/>
              </w:rPr>
              <w:t>з україномовним інтерфейсом та підтримкою роботи у локальній обчислювальній мережі.</w:t>
            </w:r>
          </w:p>
        </w:tc>
        <w:tc>
          <w:tcPr>
            <w:tcW w:w="3543" w:type="dxa"/>
          </w:tcPr>
          <w:p w:rsidR="00363525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Необхідна для запуску комп’ютера, перевірки працездатності компонентів, підключення до комп’ютерної мережі.</w:t>
            </w:r>
          </w:p>
        </w:tc>
      </w:tr>
      <w:tr w:rsidR="00363525" w:rsidRPr="00D94D0E" w:rsidTr="00ED4F56">
        <w:trPr>
          <w:trHeight w:val="134"/>
        </w:trPr>
        <w:tc>
          <w:tcPr>
            <w:tcW w:w="704" w:type="dxa"/>
          </w:tcPr>
          <w:p w:rsidR="00363525" w:rsidRPr="00277E28" w:rsidRDefault="00363525" w:rsidP="00ED4F5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63525" w:rsidRPr="008D79EA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Клавіатура</w:t>
            </w:r>
            <w:r w:rsidRPr="0072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56" w:type="dxa"/>
          </w:tcPr>
          <w:p w:rsidR="00363525" w:rsidRPr="00CA2918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стандартна, містить не менше ніж 101 клавішу, з окремим блоком клавіш для набору цифр; </w:t>
            </w:r>
            <w:proofErr w:type="spellStart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латинсько</w:t>
            </w:r>
            <w:proofErr w:type="spellEnd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-кирилична, з нанесеними літерами латиниці, російської та української абеток; </w:t>
            </w:r>
          </w:p>
          <w:p w:rsidR="00363525" w:rsidRPr="00CA2918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тип інтерфейсу - USB;</w:t>
            </w:r>
          </w:p>
          <w:p w:rsidR="00363525" w:rsidRPr="007209A0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довжина </w:t>
            </w:r>
            <w:proofErr w:type="spellStart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>інтерфейсного</w:t>
            </w:r>
            <w:proofErr w:type="spellEnd"/>
            <w:r w:rsidRPr="00CA2918">
              <w:rPr>
                <w:rFonts w:ascii="Times New Roman" w:hAnsi="Times New Roman" w:cs="Times New Roman"/>
                <w:sz w:val="24"/>
                <w:szCs w:val="24"/>
              </w:rPr>
              <w:t xml:space="preserve"> кабелю - не менше ніж 1.5 м.</w:t>
            </w:r>
          </w:p>
        </w:tc>
        <w:tc>
          <w:tcPr>
            <w:tcW w:w="3543" w:type="dxa"/>
          </w:tcPr>
          <w:p w:rsidR="00363525" w:rsidRPr="007C4DBE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введення даних.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Класичн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пристрій введення. Мембранна конструкція є герметичною, відносно безшумна та недорога, с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ередня кількість натискань таких клавіатур становить приблизно 20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Інтерфейс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дає змогу підключати клавіатуру не вимикаючи чи перезавантажуючи ПК. </w:t>
            </w:r>
          </w:p>
        </w:tc>
      </w:tr>
      <w:tr w:rsidR="00363525" w:rsidRPr="00277E28" w:rsidTr="00ED4F56">
        <w:trPr>
          <w:trHeight w:val="134"/>
        </w:trPr>
        <w:tc>
          <w:tcPr>
            <w:tcW w:w="704" w:type="dxa"/>
          </w:tcPr>
          <w:p w:rsidR="00363525" w:rsidRPr="00277E28" w:rsidRDefault="00363525" w:rsidP="00ED4F56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25" w:rsidRPr="00F72BF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Маніпулятор типу "миша":</w:t>
            </w: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:rsidR="00363525" w:rsidRPr="00F72BF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технологія - оптична;  тип підключення - USB-інтерфейс; кількість кнопок - щонайменше 3: ліва, права, колесо-кнопка для скролінгу; довжина </w:t>
            </w:r>
            <w:proofErr w:type="spellStart"/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інтерфейсного</w:t>
            </w:r>
            <w:proofErr w:type="spellEnd"/>
            <w:r w:rsidRPr="00013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кабелю - не менше ніж 1.5 м.</w:t>
            </w:r>
          </w:p>
        </w:tc>
        <w:tc>
          <w:tcPr>
            <w:tcW w:w="3543" w:type="dxa"/>
          </w:tcPr>
          <w:p w:rsidR="00363525" w:rsidRPr="00F72BFB" w:rsidRDefault="00363525" w:rsidP="00ED4F5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E9C">
              <w:rPr>
                <w:rFonts w:ascii="Times New Roman" w:hAnsi="Times New Roman" w:cs="Times New Roman"/>
                <w:sz w:val="24"/>
                <w:szCs w:val="24"/>
              </w:rPr>
              <w:t>казівни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1E9C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пристроїв введення, який дає змогу користувачеві через інтерфейс взаємодіяти з комп'ютером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Для можливості «гарячого» підключення - і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2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Зазначений тип датчика - 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>високочутлив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 xml:space="preserve"> і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не вибагливий до чистоти, </w:t>
            </w:r>
            <w:r w:rsidRPr="007C4DBE">
              <w:rPr>
                <w:rFonts w:ascii="Times New Roman" w:hAnsi="Times New Roman" w:cs="Times New Roman"/>
                <w:sz w:val="24"/>
                <w:szCs w:val="24"/>
              </w:rPr>
              <w:t>не обов'язковий килимок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63525" w:rsidRDefault="00363525" w:rsidP="00363525">
      <w:r>
        <w:br w:type="page"/>
      </w:r>
    </w:p>
    <w:p w:rsidR="00363525" w:rsidRPr="00E67CEE" w:rsidRDefault="00363525" w:rsidP="003635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363525" w:rsidRPr="00E67CEE" w:rsidRDefault="00363525" w:rsidP="003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63525" w:rsidRPr="00E67CEE" w:rsidRDefault="00363525" w:rsidP="00363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363525" w:rsidRPr="00CD69BF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Код ДК 021:2015 – 30210000-4 Машини для обробки даних </w:t>
      </w:r>
    </w:p>
    <w:p w:rsidR="00363525" w:rsidRPr="00CD69BF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(апаратна частина)/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Data-processing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machines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hardware</w:t>
      </w:r>
      <w:proofErr w:type="spellEnd"/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) </w:t>
      </w:r>
    </w:p>
    <w:p w:rsidR="00363525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D69BF">
        <w:rPr>
          <w:rFonts w:ascii="Times New Roman" w:eastAsia="Times New Roman" w:hAnsi="Times New Roman" w:cs="Times New Roman"/>
          <w:b/>
          <w:iCs/>
          <w:sz w:val="28"/>
          <w:szCs w:val="28"/>
        </w:rPr>
        <w:t>(Персональні комп'ютери)</w:t>
      </w:r>
    </w:p>
    <w:p w:rsidR="00363525" w:rsidRPr="006475DD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</w:rPr>
        <w:t>-2021-07-26-006341-</w:t>
      </w:r>
      <w:r w:rsidRPr="0036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63525" w:rsidRPr="00E67CEE" w:rsidRDefault="00363525" w:rsidP="00363525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27633">
        <w:rPr>
          <w:rFonts w:ascii="Times New Roman" w:eastAsia="Times New Roman" w:hAnsi="Times New Roman" w:cs="Times New Roman"/>
          <w:sz w:val="28"/>
          <w:szCs w:val="28"/>
          <w:u w:val="single"/>
        </w:rPr>
        <w:t>18 729 000</w:t>
      </w:r>
      <w:r w:rsidRPr="00EB1218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>00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грн.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3525" w:rsidRPr="00E67CEE" w:rsidRDefault="00363525" w:rsidP="00363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63525" w:rsidRPr="00E67CEE" w:rsidTr="00ED4F56">
        <w:trPr>
          <w:cantSplit/>
          <w:trHeight w:val="628"/>
        </w:trPr>
        <w:tc>
          <w:tcPr>
            <w:tcW w:w="704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363525" w:rsidRPr="00E67CEE" w:rsidRDefault="00363525" w:rsidP="00ED4F56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63525" w:rsidRPr="00E67CEE" w:rsidTr="00ED4F56">
        <w:trPr>
          <w:trHeight w:val="107"/>
        </w:trPr>
        <w:tc>
          <w:tcPr>
            <w:tcW w:w="704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63525" w:rsidRPr="00E67CEE" w:rsidTr="00ED4F56">
        <w:trPr>
          <w:trHeight w:val="148"/>
        </w:trPr>
        <w:tc>
          <w:tcPr>
            <w:tcW w:w="704" w:type="dxa"/>
            <w:vAlign w:val="center"/>
          </w:tcPr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363525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7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18 729 000</w:t>
            </w:r>
            <w:r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00</w:t>
            </w:r>
            <w:r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63525" w:rsidRPr="00E67CEE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363525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76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18 729 000</w:t>
            </w:r>
            <w:r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uk-UA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63525" w:rsidRPr="00235EF8" w:rsidRDefault="00363525" w:rsidP="00ED4F5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:rsidR="00363525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725</w:t>
            </w:r>
            <w:r w:rsidRPr="00D13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D69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грн;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18 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755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885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34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:rsidR="00363525" w:rsidRPr="00A20BAD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18 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706</w:t>
            </w:r>
            <w:r w:rsidRPr="00235E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CD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032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 грн.</w:t>
            </w:r>
          </w:p>
          <w:p w:rsidR="00363525" w:rsidRPr="00196FF0" w:rsidRDefault="00363525" w:rsidP="00ED4F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Pr="00EB12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18729185,78</w:t>
            </w:r>
            <w:r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Прийнята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очікувана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- </w:t>
            </w:r>
            <w:r w:rsidRPr="00C310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18 729 000,00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грн.</w:t>
            </w:r>
          </w:p>
        </w:tc>
      </w:tr>
    </w:tbl>
    <w:p w:rsidR="00363525" w:rsidRDefault="00363525" w:rsidP="00363525"/>
    <w:p w:rsidR="00315D75" w:rsidRDefault="00315D75"/>
    <w:sectPr w:rsidR="00315D75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25"/>
    <w:rsid w:val="00076914"/>
    <w:rsid w:val="00315D75"/>
    <w:rsid w:val="0036352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9B943-8163-404E-80DF-9E4A6B96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525"/>
    <w:pPr>
      <w:ind w:left="720"/>
      <w:contextualSpacing/>
    </w:pPr>
    <w:rPr>
      <w:lang w:val="ru-RU"/>
    </w:rPr>
  </w:style>
  <w:style w:type="character" w:customStyle="1" w:styleId="a4">
    <w:name w:val="Абзац списка Знак"/>
    <w:link w:val="a3"/>
    <w:uiPriority w:val="34"/>
    <w:rsid w:val="00363525"/>
  </w:style>
  <w:style w:type="table" w:customStyle="1" w:styleId="1">
    <w:name w:val="Сетка таблицы1"/>
    <w:basedOn w:val="a1"/>
    <w:next w:val="a5"/>
    <w:uiPriority w:val="39"/>
    <w:rsid w:val="003635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6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2021-07-27T08:29:00Z</dcterms:created>
  <dcterms:modified xsi:type="dcterms:W3CDTF">2021-07-27T08:34:00Z</dcterms:modified>
</cp:coreProperties>
</file>