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 1  </w:t>
      </w:r>
    </w:p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Експертної служби МВС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DE73B7" w:rsidRDefault="00A9508C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:rsidR="00DE73B7" w:rsidRDefault="00DE73B7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A9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Реєстр ризиків Експертної служби МВС</w:t>
      </w:r>
    </w:p>
    <w:p w:rsidR="00DE73B7" w:rsidRDefault="00DE7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311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05"/>
        <w:gridCol w:w="1933"/>
        <w:gridCol w:w="1811"/>
        <w:gridCol w:w="1546"/>
        <w:gridCol w:w="1774"/>
        <w:gridCol w:w="1703"/>
        <w:gridCol w:w="2127"/>
        <w:gridCol w:w="1385"/>
        <w:gridCol w:w="1504"/>
        <w:gridCol w:w="9"/>
        <w:gridCol w:w="1881"/>
        <w:gridCol w:w="12"/>
        <w:gridCol w:w="1940"/>
        <w:gridCol w:w="9"/>
        <w:gridCol w:w="1925"/>
        <w:gridCol w:w="18"/>
        <w:gridCol w:w="1940"/>
        <w:gridCol w:w="9"/>
        <w:gridCol w:w="1924"/>
        <w:gridCol w:w="13"/>
        <w:gridCol w:w="1924"/>
        <w:gridCol w:w="9"/>
        <w:gridCol w:w="1940"/>
        <w:gridCol w:w="16"/>
        <w:gridCol w:w="2042"/>
        <w:gridCol w:w="236"/>
      </w:tblGrid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-го ризику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Рівень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-го ризику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-ний ризик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Управління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фінансами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pStyle w:val="af4"/>
              <w:widowControl w:val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Експертної служби МВС 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Вибіркове (привілейоване чи упереджене)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встановлення керівниками установ Експертної служби МВС надбавок, визначення </w:t>
            </w:r>
            <w:r>
              <w:rPr>
                <w:rFonts w:ascii="Times New Roman" w:eastAsia="Calibri" w:hAnsi="Times New Roman" w:cs="Times New Roman"/>
                <w:lang w:eastAsia="uk-UA"/>
              </w:rPr>
              <w:t>розміру премій працівникам.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Не- доброчесність посадових осіб, бажання отримати особисту вигоду або сприяти отриманню вигоди, не- обґрунтоване рішення  про встановлення зазначених виплат та підстав для їх прийняття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Низький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Дотримання вимог законодавчих, 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нормативно-правових актів, розпорядчих документів керівниками структурних підрозділів апарату МВС при визначенні премій, надбавок працівникам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Щопівріччя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ВФЗБО НДЕКЦ МВС, ДНДЕКЦ МВС, уповноважені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ind w:left="57" w:right="-11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Доповідні записки про </w:t>
            </w:r>
          </w:p>
          <w:p w:rsidR="00DE73B7" w:rsidRDefault="00A9508C">
            <w:pPr>
              <w:widowControl w:val="0"/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вимог нормативних документів, що регламенту-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ють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порядок преміювання, встановлення надбавок, переміщення та призначення.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Уникнення конфлікту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інтересів.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Публічні закупівлі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rPr>
          <w:trHeight w:val="6678"/>
        </w:trPr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Планування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, формування оголошення щодо </w:t>
            </w:r>
            <w:r>
              <w:rPr>
                <w:rFonts w:ascii="Times New Roman" w:eastAsia="Calibri" w:hAnsi="Times New Roman" w:cs="Times New Roman"/>
                <w:lang w:eastAsia="uk-UA"/>
              </w:rPr>
              <w:t>закупівлі.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</w:t>
            </w:r>
            <w:r>
              <w:rPr>
                <w:rFonts w:ascii="Times New Roman" w:eastAsia="Calibri" w:hAnsi="Times New Roman" w:cs="Times New Roman"/>
                <w:lang w:eastAsia="uk-UA"/>
              </w:rPr>
              <w:t>ання пропозицій для розрахунку очікуваної вартості закупівлі.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Недоброчесність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осіб.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Низький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з боку керівника структурного підрозділу,  який ініціює закупівлю,  та уповноваженої особи із питань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закупівель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</w:t>
            </w:r>
            <w:r>
              <w:rPr>
                <w:rFonts w:ascii="Times New Roman" w:eastAsia="Calibri" w:hAnsi="Times New Roman" w:cs="Times New Roman"/>
                <w:lang w:eastAsia="uk-UA"/>
              </w:rPr>
              <w:t>ержавною аудиторською службою України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Відповідальний структурний підрозділ, який ініціює закупівлю, та уповноважена особа з питань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закупівель</w:t>
            </w:r>
            <w:proofErr w:type="spellEnd"/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Доповідні записки про контроль вартості закупівлі   що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відповідає </w:t>
            </w:r>
            <w:r>
              <w:rPr>
                <w:rFonts w:ascii="Times New Roman" w:eastAsia="Calibri" w:hAnsi="Times New Roman" w:cs="Times New Roman"/>
                <w:lang w:eastAsia="uk-UA"/>
              </w:rPr>
              <w:t>вимогам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 лютого 2020 року № 275</w:t>
            </w:r>
            <w:r>
              <w:rPr>
                <w:rFonts w:ascii="Times New Roman" w:eastAsia="Calibri" w:hAnsi="Times New Roman" w:cs="Times New Roman"/>
                <w:color w:val="00B050"/>
                <w:lang w:eastAsia="uk-UA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на вищі посади, 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переведення в інші установи працівників Експертної служби МВС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Можливий вплив посадових осіб на процедуру відбору персоналу з метою сприяння прийняттю на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роботу, переміщення по посадах (підвищен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ня на посаді, пониження на посаді, переведення в інший підрозділ) </w:t>
            </w: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Дискреційні повноваження при прийомі на роботу та переміщенні по посадах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1775" w:type="dxa"/>
          </w:tcPr>
          <w:p w:rsidR="00DE73B7" w:rsidRDefault="00A9508C">
            <w:pPr>
              <w:widowControl w:val="0"/>
              <w:spacing w:after="0" w:line="240" w:lineRule="atLeas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чіткої і прозорої процедури добору персоналу на різні категорії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посад за </w:t>
            </w:r>
            <w:r>
              <w:rPr>
                <w:rFonts w:ascii="Times New Roman" w:eastAsia="Calibri" w:hAnsi="Times New Roman" w:cs="Times New Roman"/>
                <w:lang w:eastAsia="uk-UA"/>
              </w:rPr>
              <w:t>уніфікованими формами кадрових документів у всіх підрозділах та за всіма напрямами роботи.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Проведення аналізу документів при прийнятті на роботу, переміщенні, перевірок достовірності наданих претендентом на посаду відомостей про себе та близьких осіб</w:t>
            </w:r>
          </w:p>
        </w:tc>
        <w:tc>
          <w:tcPr>
            <w:tcW w:w="1703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 п</w:t>
            </w:r>
            <w:r>
              <w:rPr>
                <w:rFonts w:ascii="Times New Roman" w:eastAsia="Calibri" w:hAnsi="Times New Roman" w:cs="Times New Roman"/>
              </w:rPr>
              <w:t>рийомі на роботу  та переміщенні по посадах</w:t>
            </w: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Керівники кадрових підрозділів, атестаційні комісії, уповноважені з антикорупційної діяльності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uk-UA"/>
              </w:rPr>
              <w:t>п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ризначення на посаду претендента, який відповідає встановленим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кваліфікацій-ним вимо</w:t>
            </w:r>
            <w:r>
              <w:rPr>
                <w:rFonts w:ascii="Times New Roman" w:eastAsia="Calibri" w:hAnsi="Times New Roman" w:cs="Times New Roman"/>
                <w:lang w:eastAsia="uk-UA"/>
              </w:rPr>
              <w:t>гам</w:t>
            </w:r>
          </w:p>
          <w:p w:rsidR="00DE73B7" w:rsidRDefault="00A9508C">
            <w:pPr>
              <w:widowControl w:val="0"/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Недопущення конфлікту інтересів, іншого впливу посадових осіб на процедуру відбору персоналу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302" w:type="dxa"/>
            <w:gridSpan w:val="10"/>
          </w:tcPr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Судово-експертна діяльність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DE73B7">
        <w:tc>
          <w:tcPr>
            <w:tcW w:w="1506" w:type="dxa"/>
          </w:tcPr>
          <w:p w:rsidR="00DE73B7" w:rsidRDefault="00A9508C">
            <w:pPr>
              <w:widowControl w:val="0"/>
              <w:spacing w:after="0" w:line="240" w:lineRule="auto"/>
              <w:ind w:right="-19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Експертне дослідження транспортного засобу і реєстраційних документів на транспортний засіб із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видачею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>висновку експертного дослідження</w:t>
            </w:r>
          </w:p>
        </w:tc>
        <w:tc>
          <w:tcPr>
            <w:tcW w:w="1934" w:type="dxa"/>
          </w:tcPr>
          <w:p w:rsidR="00DE73B7" w:rsidRDefault="00A9508C">
            <w:pPr>
              <w:widowControl w:val="0"/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документів, що його супроводжує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висновку експертного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дослідження» можливість неякісного проведення експертного дослідження (не- належне виконання своїх обов’язків, недбалість у діях працівника), не- вжиття заходів при виявленні зміненого ідентифікаційного номера, внесення в базу даних.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Позачерго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ве оформлення заяви замовником для отримання зазначеної послуги, можливість незаконного збагачення працівника при спілкування із замовником.</w:t>
            </w:r>
          </w:p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2.Можливість фальсифікації або недбалість при дослідженні документів, що супроводжують транспортний засіб, та перев</w:t>
            </w:r>
            <w:r>
              <w:rPr>
                <w:rFonts w:ascii="Times New Roman" w:eastAsia="Calibri" w:hAnsi="Times New Roman" w:cs="Times New Roman"/>
                <w:bCs/>
              </w:rPr>
              <w:t>ірка інформації про транспортний засіб за наявними базами даних.</w:t>
            </w:r>
          </w:p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 Можливість неналежного виконання своїх обов'язків та невжиття заходів при дослідженні ідентифікацій-них номерів транспортного засобу, оформлення результатів дослідження та унесення їх до в</w:t>
            </w:r>
            <w:r>
              <w:rPr>
                <w:rFonts w:ascii="Times New Roman" w:eastAsia="Calibri" w:hAnsi="Times New Roman" w:cs="Times New Roman"/>
                <w:bCs/>
              </w:rPr>
              <w:t>ідповідних баз даних.</w:t>
            </w:r>
          </w:p>
        </w:tc>
        <w:tc>
          <w:tcPr>
            <w:tcW w:w="1547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Високий</w:t>
            </w:r>
          </w:p>
        </w:tc>
        <w:tc>
          <w:tcPr>
            <w:tcW w:w="1775" w:type="dxa"/>
          </w:tcPr>
          <w:p w:rsidR="00DE73B7" w:rsidRDefault="00A9508C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обладнано системами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відеонагляду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та засобами індивідуального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обладнання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. (Наказ Експертної служби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МВС від 27.09.2022 № 20-ЕС-Н «Про затвердження Порядку зберігання та використання засобів індивідуального обладнання для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та зберігання даних працівниками Експертної служби МВС, які беруть участь у проведенні державної реєстрації (перереєстр</w:t>
            </w:r>
            <w:r>
              <w:rPr>
                <w:rFonts w:ascii="Times New Roman" w:eastAsia="Calibri" w:hAnsi="Times New Roman" w:cs="Times New Roman"/>
                <w:lang w:eastAsia="uk-UA"/>
              </w:rPr>
              <w:t>ації), зняття з обліку транспортних засобів у територіальних органах з надання сервісних послуг МВС»).</w:t>
            </w:r>
          </w:p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Здійснення постійного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моніторингу за діями працівників, дотримання службових інструкцій та щоквартальне звітування перед керівництвом НДЕКЦ МВС, ДНДЕКЦ М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ВС </w:t>
            </w:r>
          </w:p>
        </w:tc>
        <w:tc>
          <w:tcPr>
            <w:tcW w:w="1703" w:type="dxa"/>
          </w:tcPr>
          <w:p w:rsidR="00DE73B7" w:rsidRDefault="00A9508C">
            <w:pPr>
              <w:pStyle w:val="af4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Постійно,</w:t>
            </w:r>
          </w:p>
          <w:p w:rsidR="00DE73B7" w:rsidRDefault="00A9508C">
            <w:pPr>
              <w:pStyle w:val="af4"/>
              <w:widowControl w:val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щоквартальне звітування до 5 квітня,</w:t>
            </w:r>
          </w:p>
          <w:p w:rsidR="00DE73B7" w:rsidRDefault="00A9508C">
            <w:pPr>
              <w:pStyle w:val="af4"/>
              <w:widowControl w:val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липня, 5 вересня, 5 грудня,</w:t>
            </w:r>
          </w:p>
          <w:p w:rsidR="00DE73B7" w:rsidRDefault="00A9508C">
            <w:pPr>
              <w:pStyle w:val="af4"/>
              <w:widowControl w:val="0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узагальнення інформації</w:t>
            </w:r>
          </w:p>
          <w:p w:rsidR="00DE73B7" w:rsidRDefault="00DE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DE73B7" w:rsidRDefault="00A950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НДЕКЦ МВС, лабораторія криміналістичного дослідження транспортних засобів та ведення реєстрів ДНДЕКЦ МВС, СПЗК ДНДЕКЦ МВС</w:t>
            </w:r>
          </w:p>
        </w:tc>
        <w:tc>
          <w:tcPr>
            <w:tcW w:w="1385" w:type="dxa"/>
          </w:tcPr>
          <w:p w:rsidR="00DE73B7" w:rsidRDefault="00A9508C">
            <w:pPr>
              <w:widowControl w:val="0"/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Не потребує додаткових </w:t>
            </w:r>
            <w:r>
              <w:rPr>
                <w:rFonts w:ascii="Times New Roman" w:eastAsia="Calibri" w:hAnsi="Times New Roman" w:cs="Times New Roman"/>
                <w:bCs/>
              </w:rPr>
              <w:t>ресурсів</w:t>
            </w:r>
          </w:p>
        </w:tc>
        <w:tc>
          <w:tcPr>
            <w:tcW w:w="1504" w:type="dxa"/>
          </w:tcPr>
          <w:p w:rsidR="00DE73B7" w:rsidRDefault="00A950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Доповідні  та довідки за результатами перевірок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E73B7" w:rsidRDefault="00DE73B7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:rsidR="00DE73B7" w:rsidRDefault="00DE73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3B7" w:rsidRDefault="00DE73B7">
      <w:pPr>
        <w:spacing w:after="0" w:line="240" w:lineRule="auto"/>
        <w:jc w:val="right"/>
        <w:rPr>
          <w:sz w:val="28"/>
          <w:szCs w:val="28"/>
        </w:rPr>
      </w:pPr>
    </w:p>
    <w:p w:rsidR="00DE73B7" w:rsidRDefault="00A9508C">
      <w:pPr>
        <w:pStyle w:val="22"/>
        <w:tabs>
          <w:tab w:val="left" w:pos="8080"/>
          <w:tab w:val="left" w:pos="8647"/>
        </w:tabs>
        <w:spacing w:after="0" w:line="240" w:lineRule="auto"/>
        <w:ind w:left="-1276" w:right="992" w:firstLine="142"/>
        <w:contextualSpacing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Завідувач сектору з питань</w:t>
      </w:r>
    </w:p>
    <w:p w:rsidR="00DE73B7" w:rsidRDefault="00A9508C">
      <w:pPr>
        <w:pStyle w:val="22"/>
        <w:tabs>
          <w:tab w:val="left" w:pos="8080"/>
          <w:tab w:val="left" w:pos="8647"/>
        </w:tabs>
        <w:spacing w:after="0" w:line="240" w:lineRule="auto"/>
        <w:ind w:left="0" w:right="99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запобігання корупції ДНДЕКЦ МВС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Андрій ДУБЧАК</w:t>
      </w: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DE73B7" w:rsidRDefault="00DE73B7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DE73B7">
      <w:pgSz w:w="16838" w:h="11906" w:orient="landscape"/>
      <w:pgMar w:top="851" w:right="253" w:bottom="156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A9508C"/>
    <w:rsid w:val="00D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2905-1270-4A84-8A40-CE3A2A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04D25"/>
    <w:rPr>
      <w:lang w:val="uk-U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FA4652"/>
    <w:rPr>
      <w:lang w:val="uk-UA"/>
    </w:rPr>
  </w:style>
  <w:style w:type="paragraph" w:styleId="22">
    <w:name w:val="Body Text Indent 2"/>
    <w:basedOn w:val="a"/>
    <w:link w:val="21"/>
    <w:uiPriority w:val="99"/>
    <w:unhideWhenUsed/>
    <w:qFormat/>
    <w:rsid w:val="00F04D25"/>
    <w:pPr>
      <w:spacing w:after="120" w:line="480" w:lineRule="auto"/>
      <w:ind w:left="283"/>
    </w:pPr>
  </w:style>
  <w:style w:type="table" w:styleId="af5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79EE-4EA2-4F4C-AF8E-532E09EB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3894</Words>
  <Characters>2220</Characters>
  <Application>Microsoft Office Word</Application>
  <DocSecurity>0</DocSecurity>
  <Lines>18</Lines>
  <Paragraphs>12</Paragraphs>
  <ScaleCrop>false</ScaleCrop>
  <Company>Home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Дубчак Андрій Володимирович</cp:lastModifiedBy>
  <cp:revision>9</cp:revision>
  <cp:lastPrinted>2023-02-07T08:19:00Z</cp:lastPrinted>
  <dcterms:created xsi:type="dcterms:W3CDTF">2023-03-01T05:30:00Z</dcterms:created>
  <dcterms:modified xsi:type="dcterms:W3CDTF">2023-03-24T10:28:00Z</dcterms:modified>
  <dc:language>uk-UA</dc:language>
</cp:coreProperties>
</file>