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AC5D" w14:textId="77777777" w:rsidR="0018558A" w:rsidRPr="00A92406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3CC63F7B" w14:textId="77777777" w:rsidR="0018558A" w:rsidRPr="00A92406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1C7E2767" w14:textId="22F0091D" w:rsidR="0018558A" w:rsidRDefault="005B6D66" w:rsidP="00185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bookmarkStart w:id="1" w:name="_Hlk139637078"/>
      <w:r w:rsidRPr="005B6D66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24310000-0 Основні неорганічні хімічні речовини (Неорганічні реактиви для проведення фізико-хімічних досліджень)</w:t>
      </w:r>
    </w:p>
    <w:bookmarkEnd w:id="1"/>
    <w:p w14:paraId="2EBA6C77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40DFE719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8B18A10" w14:textId="5593E919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 w:rsidR="005B6D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B6D66" w:rsidRPr="005B6D66">
        <w:rPr>
          <w:rFonts w:ascii="Times New Roman" w:eastAsia="Times New Roman" w:hAnsi="Times New Roman"/>
          <w:b/>
          <w:sz w:val="28"/>
          <w:szCs w:val="28"/>
        </w:rPr>
        <w:t>UA-2023-07-07-010695-a</w:t>
      </w: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bookmarkEnd w:id="0"/>
    <w:p w14:paraId="7E0A7BCC" w14:textId="77777777" w:rsidR="0018558A" w:rsidRPr="00A92406" w:rsidRDefault="0018558A" w:rsidP="001855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33C4834" w14:textId="290FBAAF" w:rsidR="0018558A" w:rsidRDefault="0018558A" w:rsidP="0018558A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p w14:paraId="5B798F62" w14:textId="617E8B33" w:rsidR="005B6D66" w:rsidRDefault="005B6D66" w:rsidP="0018558A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55"/>
        <w:gridCol w:w="2976"/>
        <w:gridCol w:w="2599"/>
      </w:tblGrid>
      <w:tr w:rsidR="005B6D66" w:rsidRPr="00B314E4" w14:paraId="181364BD" w14:textId="77777777" w:rsidTr="00024D65">
        <w:trPr>
          <w:trHeight w:val="1134"/>
        </w:trPr>
        <w:tc>
          <w:tcPr>
            <w:tcW w:w="709" w:type="dxa"/>
          </w:tcPr>
          <w:p w14:paraId="69B0B6F3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355" w:type="dxa"/>
          </w:tcPr>
          <w:p w14:paraId="3B6786F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976" w:type="dxa"/>
          </w:tcPr>
          <w:p w14:paraId="0DB22AF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99" w:type="dxa"/>
          </w:tcPr>
          <w:p w14:paraId="07263EA3" w14:textId="77777777" w:rsidR="005B6D66" w:rsidRPr="00776A58" w:rsidRDefault="005B6D66" w:rsidP="00024D65">
            <w:pPr>
              <w:widowControl w:val="0"/>
              <w:spacing w:after="0" w:line="240" w:lineRule="auto"/>
              <w:ind w:right="2"/>
              <w:contextualSpacing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613DB9F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5B6D66" w:rsidRPr="00B314E4" w14:paraId="78120739" w14:textId="77777777" w:rsidTr="00024D65">
        <w:trPr>
          <w:trHeight w:val="179"/>
        </w:trPr>
        <w:tc>
          <w:tcPr>
            <w:tcW w:w="709" w:type="dxa"/>
          </w:tcPr>
          <w:p w14:paraId="3B0C68BF" w14:textId="77777777" w:rsidR="005B6D66" w:rsidRPr="007D7E1D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</w:tcPr>
          <w:p w14:paraId="661B492B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Калій двохромовокислий (далі – реактив) </w:t>
            </w:r>
            <w:r w:rsidRPr="007D7E1D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3FD2D209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15D06DD3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12530AC" w14:textId="77777777" w:rsidTr="00024D65">
        <w:trPr>
          <w:trHeight w:val="138"/>
        </w:trPr>
        <w:tc>
          <w:tcPr>
            <w:tcW w:w="709" w:type="dxa"/>
          </w:tcPr>
          <w:p w14:paraId="66AC1229" w14:textId="77777777" w:rsidR="005B6D66" w:rsidRPr="007D7E1D" w:rsidRDefault="005B6D66" w:rsidP="005B6D66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241A3DB" w14:textId="77777777" w:rsidR="005B6D66" w:rsidRPr="007D7E1D" w:rsidRDefault="005B6D66" w:rsidP="00024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5B37F727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 w:val="restart"/>
          </w:tcPr>
          <w:p w14:paraId="0D1170E8" w14:textId="77777777" w:rsidR="005B6D66" w:rsidRPr="007D7E1D" w:rsidRDefault="005B6D66" w:rsidP="00024D65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D7E1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D7E1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D7E1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58A5A5C0" w14:textId="77777777" w:rsidTr="00024D65">
        <w:trPr>
          <w:trHeight w:val="150"/>
        </w:trPr>
        <w:tc>
          <w:tcPr>
            <w:tcW w:w="709" w:type="dxa"/>
          </w:tcPr>
          <w:p w14:paraId="3AC91FC2" w14:textId="77777777" w:rsidR="005B6D66" w:rsidRPr="007D7E1D" w:rsidRDefault="005B6D66" w:rsidP="00024D65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0D43742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7858BA63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7EF358E1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3101F36" w14:textId="77777777" w:rsidTr="00024D65">
        <w:trPr>
          <w:trHeight w:val="101"/>
        </w:trPr>
        <w:tc>
          <w:tcPr>
            <w:tcW w:w="709" w:type="dxa"/>
          </w:tcPr>
          <w:p w14:paraId="65D493E2" w14:textId="77777777" w:rsidR="005B6D66" w:rsidRPr="007D7E1D" w:rsidRDefault="005B6D66" w:rsidP="00024D65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73A3CD7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Термін придатності реактиву</w:t>
            </w:r>
          </w:p>
        </w:tc>
        <w:tc>
          <w:tcPr>
            <w:tcW w:w="2976" w:type="dxa"/>
          </w:tcPr>
          <w:p w14:paraId="003CC1A0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 1 рік від дати поставки</w:t>
            </w:r>
          </w:p>
        </w:tc>
        <w:tc>
          <w:tcPr>
            <w:tcW w:w="2599" w:type="dxa"/>
            <w:shd w:val="clear" w:color="auto" w:fill="auto"/>
          </w:tcPr>
          <w:p w14:paraId="35DCCF79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0C86A252" w14:textId="77777777" w:rsidTr="00024D65">
        <w:trPr>
          <w:trHeight w:val="150"/>
        </w:trPr>
        <w:tc>
          <w:tcPr>
            <w:tcW w:w="709" w:type="dxa"/>
          </w:tcPr>
          <w:p w14:paraId="4C8A4311" w14:textId="77777777" w:rsidR="005B6D66" w:rsidRPr="007D7E1D" w:rsidRDefault="005B6D66" w:rsidP="00024D65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F3BC51B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63058628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5F8955B" w14:textId="77777777" w:rsidR="005B6D66" w:rsidRPr="007D7E1D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D7E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39D67691" w14:textId="77777777" w:rsidTr="00024D65">
        <w:trPr>
          <w:trHeight w:val="88"/>
        </w:trPr>
        <w:tc>
          <w:tcPr>
            <w:tcW w:w="709" w:type="dxa"/>
          </w:tcPr>
          <w:p w14:paraId="240DEA99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55" w:type="dxa"/>
          </w:tcPr>
          <w:p w14:paraId="44EDBC0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Срібло сірчанокисле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F527D0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4A94643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A33D33C" w14:textId="77777777" w:rsidTr="00024D65">
        <w:trPr>
          <w:trHeight w:val="150"/>
        </w:trPr>
        <w:tc>
          <w:tcPr>
            <w:tcW w:w="709" w:type="dxa"/>
          </w:tcPr>
          <w:p w14:paraId="738F5C8F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DDEC98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C4A90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6E5B8A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FC4A90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у вигляді білого блискучого кристалічного порошку</w:t>
            </w:r>
          </w:p>
        </w:tc>
        <w:tc>
          <w:tcPr>
            <w:tcW w:w="2599" w:type="dxa"/>
            <w:vMerge w:val="restart"/>
          </w:tcPr>
          <w:p w14:paraId="75E8ACA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76A58" w14:paraId="443F6C54" w14:textId="77777777" w:rsidTr="00024D65">
        <w:trPr>
          <w:trHeight w:val="101"/>
        </w:trPr>
        <w:tc>
          <w:tcPr>
            <w:tcW w:w="709" w:type="dxa"/>
          </w:tcPr>
          <w:p w14:paraId="313BA5E6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858413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За ступенем чистоти реактив</w:t>
            </w:r>
          </w:p>
        </w:tc>
        <w:tc>
          <w:tcPr>
            <w:tcW w:w="2976" w:type="dxa"/>
          </w:tcPr>
          <w:p w14:paraId="4CC9F06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</w:tcPr>
          <w:p w14:paraId="7A19A0E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FE0612E" w14:textId="77777777" w:rsidTr="00024D65">
        <w:trPr>
          <w:trHeight w:val="101"/>
        </w:trPr>
        <w:tc>
          <w:tcPr>
            <w:tcW w:w="709" w:type="dxa"/>
          </w:tcPr>
          <w:p w14:paraId="502BB040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7156A0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Масова частка основної речовини</w:t>
            </w:r>
          </w:p>
        </w:tc>
        <w:tc>
          <w:tcPr>
            <w:tcW w:w="2976" w:type="dxa"/>
          </w:tcPr>
          <w:p w14:paraId="4B9091A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 99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776A58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599" w:type="dxa"/>
            <w:vMerge/>
          </w:tcPr>
          <w:p w14:paraId="042FFB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9960DD4" w14:textId="77777777" w:rsidTr="00024D65">
        <w:trPr>
          <w:trHeight w:val="163"/>
        </w:trPr>
        <w:tc>
          <w:tcPr>
            <w:tcW w:w="709" w:type="dxa"/>
          </w:tcPr>
          <w:p w14:paraId="1DFCF063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B9ED52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676485D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16709F2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 метою забезпечення придатними </w:t>
            </w: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реактивами для проведення лабораторного  аналізу</w:t>
            </w:r>
          </w:p>
        </w:tc>
      </w:tr>
      <w:tr w:rsidR="005B6D66" w:rsidRPr="00B314E4" w14:paraId="0A2E2DE5" w14:textId="77777777" w:rsidTr="00024D65">
        <w:trPr>
          <w:trHeight w:val="163"/>
        </w:trPr>
        <w:tc>
          <w:tcPr>
            <w:tcW w:w="709" w:type="dxa"/>
          </w:tcPr>
          <w:p w14:paraId="0C9D717C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F17521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0CB48D4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до реактиву герметичн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упаковці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059D9A1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30C55300" w14:textId="77777777" w:rsidTr="00024D65">
        <w:trPr>
          <w:trHeight w:val="138"/>
        </w:trPr>
        <w:tc>
          <w:tcPr>
            <w:tcW w:w="709" w:type="dxa"/>
          </w:tcPr>
          <w:p w14:paraId="28A35820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355" w:type="dxa"/>
          </w:tcPr>
          <w:p w14:paraId="1D78845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Кислота лимо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на, безводна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337ABB3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066D78F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1F3E4C85" w14:textId="77777777" w:rsidTr="00024D65">
        <w:trPr>
          <w:trHeight w:val="113"/>
        </w:trPr>
        <w:tc>
          <w:tcPr>
            <w:tcW w:w="709" w:type="dxa"/>
          </w:tcPr>
          <w:p w14:paraId="1D0DE93D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9B9928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C4A90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1F36A52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у вигляді </w:t>
            </w: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безбарвних кристалів або білого кристалічного порошку</w:t>
            </w:r>
          </w:p>
        </w:tc>
        <w:tc>
          <w:tcPr>
            <w:tcW w:w="2599" w:type="dxa"/>
            <w:vMerge w:val="restart"/>
          </w:tcPr>
          <w:p w14:paraId="0E6987E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  <w:p w14:paraId="01907DF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863528" w14:paraId="40E94A3F" w14:textId="77777777" w:rsidTr="00024D65">
        <w:trPr>
          <w:trHeight w:val="101"/>
        </w:trPr>
        <w:tc>
          <w:tcPr>
            <w:tcW w:w="709" w:type="dxa"/>
          </w:tcPr>
          <w:p w14:paraId="340A5C97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C8EDCC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5FB82D7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37B54A1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0903B9D" w14:textId="77777777" w:rsidTr="00024D65">
        <w:trPr>
          <w:trHeight w:val="265"/>
        </w:trPr>
        <w:tc>
          <w:tcPr>
            <w:tcW w:w="709" w:type="dxa"/>
          </w:tcPr>
          <w:p w14:paraId="50D23B90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C43D3A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411AE34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3F8D736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0CD0815F" w14:textId="77777777" w:rsidTr="00024D65">
        <w:trPr>
          <w:trHeight w:val="265"/>
        </w:trPr>
        <w:tc>
          <w:tcPr>
            <w:tcW w:w="709" w:type="dxa"/>
          </w:tcPr>
          <w:p w14:paraId="284BB4AD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B5F24F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0C1AFD7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0279918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2D6EA161" w14:textId="77777777" w:rsidTr="00024D65">
        <w:trPr>
          <w:trHeight w:val="150"/>
        </w:trPr>
        <w:tc>
          <w:tcPr>
            <w:tcW w:w="709" w:type="dxa"/>
          </w:tcPr>
          <w:p w14:paraId="35FFDC20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355" w:type="dxa"/>
          </w:tcPr>
          <w:p w14:paraId="33AC947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Калій йодистий,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7EC7F2B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57B748B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B6C1542" w14:textId="77777777" w:rsidTr="00024D65">
        <w:trPr>
          <w:trHeight w:val="922"/>
        </w:trPr>
        <w:tc>
          <w:tcPr>
            <w:tcW w:w="709" w:type="dxa"/>
          </w:tcPr>
          <w:p w14:paraId="0831BF7D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78BC93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48B2522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вигляді порошку білого кольору або безбарвних кристалів</w:t>
            </w:r>
            <w:r w:rsidRPr="00FC4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99" w:type="dxa"/>
            <w:vMerge w:val="restart"/>
          </w:tcPr>
          <w:p w14:paraId="7C05F3E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044F5AB0" w14:textId="77777777" w:rsidTr="00024D65">
        <w:trPr>
          <w:trHeight w:val="826"/>
        </w:trPr>
        <w:tc>
          <w:tcPr>
            <w:tcW w:w="709" w:type="dxa"/>
          </w:tcPr>
          <w:p w14:paraId="4C783B26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B820728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06596805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2EF83D2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7781F052" w14:textId="77777777" w:rsidTr="00024D65">
        <w:trPr>
          <w:trHeight w:val="583"/>
        </w:trPr>
        <w:tc>
          <w:tcPr>
            <w:tcW w:w="709" w:type="dxa"/>
          </w:tcPr>
          <w:p w14:paraId="7356D106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49DD122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156CEC3B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0EAF55F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317EC474" w14:textId="77777777" w:rsidTr="00024D65">
        <w:trPr>
          <w:trHeight w:val="101"/>
        </w:trPr>
        <w:tc>
          <w:tcPr>
            <w:tcW w:w="709" w:type="dxa"/>
          </w:tcPr>
          <w:p w14:paraId="4EED62D7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3F59F1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00E3CAD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3DE912B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17869D9" w14:textId="77777777" w:rsidTr="00024D65">
        <w:trPr>
          <w:trHeight w:val="172"/>
        </w:trPr>
        <w:tc>
          <w:tcPr>
            <w:tcW w:w="709" w:type="dxa"/>
          </w:tcPr>
          <w:p w14:paraId="67436543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355" w:type="dxa"/>
          </w:tcPr>
          <w:p w14:paraId="1F90B45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Калій хлористий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</w:t>
            </w:r>
            <w:r w:rsidRPr="00150E76">
              <w:rPr>
                <w:rFonts w:ascii="Times New Roman" w:hAnsi="Times New Roman"/>
                <w:b/>
                <w:lang w:val="ru-RU"/>
              </w:rPr>
              <w:lastRenderedPageBreak/>
              <w:t>24315000-5)</w:t>
            </w:r>
          </w:p>
        </w:tc>
        <w:tc>
          <w:tcPr>
            <w:tcW w:w="2976" w:type="dxa"/>
          </w:tcPr>
          <w:p w14:paraId="0D63A19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423AB68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4BCDB21F" w14:textId="77777777" w:rsidTr="00024D65">
        <w:trPr>
          <w:trHeight w:val="92"/>
        </w:trPr>
        <w:tc>
          <w:tcPr>
            <w:tcW w:w="709" w:type="dxa"/>
          </w:tcPr>
          <w:p w14:paraId="638194C1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D3491A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64C539F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 w:val="restart"/>
          </w:tcPr>
          <w:p w14:paraId="7D4E9C4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76A58" w14:paraId="4AC49C35" w14:textId="77777777" w:rsidTr="00024D65">
        <w:trPr>
          <w:trHeight w:val="127"/>
        </w:trPr>
        <w:tc>
          <w:tcPr>
            <w:tcW w:w="709" w:type="dxa"/>
          </w:tcPr>
          <w:p w14:paraId="2D372BCD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898177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3DC8E85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5F86A0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5D420160" w14:textId="77777777" w:rsidTr="00024D65">
        <w:trPr>
          <w:trHeight w:val="115"/>
        </w:trPr>
        <w:tc>
          <w:tcPr>
            <w:tcW w:w="709" w:type="dxa"/>
          </w:tcPr>
          <w:p w14:paraId="73A982B4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908315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5A59E3D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4586BE5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0FC03602" w14:textId="77777777" w:rsidTr="00024D65">
        <w:trPr>
          <w:trHeight w:val="161"/>
        </w:trPr>
        <w:tc>
          <w:tcPr>
            <w:tcW w:w="709" w:type="dxa"/>
          </w:tcPr>
          <w:p w14:paraId="483BA8ED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3CC58E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17B505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32C6CD5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8E80F68" w14:textId="77777777" w:rsidTr="00024D65">
        <w:trPr>
          <w:trHeight w:val="80"/>
        </w:trPr>
        <w:tc>
          <w:tcPr>
            <w:tcW w:w="709" w:type="dxa"/>
          </w:tcPr>
          <w:p w14:paraId="5BE4B56E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0111A7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5B3161C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1082118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928CF99" w14:textId="77777777" w:rsidTr="00024D65">
        <w:trPr>
          <w:trHeight w:val="113"/>
        </w:trPr>
        <w:tc>
          <w:tcPr>
            <w:tcW w:w="709" w:type="dxa"/>
          </w:tcPr>
          <w:p w14:paraId="29A40A09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355" w:type="dxa"/>
          </w:tcPr>
          <w:p w14:paraId="1521BB6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Натрій вуглекислий, безводний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A1F713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3346AB5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8ABF046" w14:textId="77777777" w:rsidTr="00024D65">
        <w:trPr>
          <w:trHeight w:val="126"/>
        </w:trPr>
        <w:tc>
          <w:tcPr>
            <w:tcW w:w="709" w:type="dxa"/>
          </w:tcPr>
          <w:p w14:paraId="6DB0FEFD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A332B0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5806231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 вигляді білого кристалічного порошку</w:t>
            </w:r>
          </w:p>
        </w:tc>
        <w:tc>
          <w:tcPr>
            <w:tcW w:w="2599" w:type="dxa"/>
            <w:vMerge w:val="restart"/>
          </w:tcPr>
          <w:p w14:paraId="7E7C7BF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4EECF8B4" w14:textId="77777777" w:rsidTr="00024D65">
        <w:trPr>
          <w:trHeight w:val="101"/>
        </w:trPr>
        <w:tc>
          <w:tcPr>
            <w:tcW w:w="709" w:type="dxa"/>
          </w:tcPr>
          <w:p w14:paraId="472D5C8F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244BD7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1224ED6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</w:tcPr>
          <w:p w14:paraId="2DB3345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776A58" w14:paraId="2F427C46" w14:textId="77777777" w:rsidTr="00024D65">
        <w:trPr>
          <w:trHeight w:val="101"/>
        </w:trPr>
        <w:tc>
          <w:tcPr>
            <w:tcW w:w="709" w:type="dxa"/>
          </w:tcPr>
          <w:p w14:paraId="740DE336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3D275F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4C038AF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3EF745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158F6E8B" w14:textId="77777777" w:rsidTr="00024D65">
        <w:trPr>
          <w:trHeight w:val="627"/>
        </w:trPr>
        <w:tc>
          <w:tcPr>
            <w:tcW w:w="709" w:type="dxa"/>
          </w:tcPr>
          <w:p w14:paraId="24A667D7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EEA77D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2404AA6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6209305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7E647E5D" w14:textId="77777777" w:rsidTr="00024D65">
        <w:trPr>
          <w:trHeight w:val="113"/>
        </w:trPr>
        <w:tc>
          <w:tcPr>
            <w:tcW w:w="709" w:type="dxa"/>
          </w:tcPr>
          <w:p w14:paraId="3A90792D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38593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674D16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0A912C7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4D69B20" w14:textId="77777777" w:rsidTr="00024D65">
        <w:trPr>
          <w:trHeight w:val="113"/>
        </w:trPr>
        <w:tc>
          <w:tcPr>
            <w:tcW w:w="709" w:type="dxa"/>
          </w:tcPr>
          <w:p w14:paraId="7050B682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355" w:type="dxa"/>
          </w:tcPr>
          <w:p w14:paraId="63769BD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Оцтова кислота, крижана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5844DE9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651B569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D007910" w14:textId="77777777" w:rsidTr="00024D65">
        <w:trPr>
          <w:trHeight w:val="313"/>
        </w:trPr>
        <w:tc>
          <w:tcPr>
            <w:tcW w:w="709" w:type="dxa"/>
          </w:tcPr>
          <w:p w14:paraId="180A0F84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501FC37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835ABD6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 вигляді прозорої, безбарвної рідини</w:t>
            </w:r>
          </w:p>
        </w:tc>
        <w:tc>
          <w:tcPr>
            <w:tcW w:w="2599" w:type="dxa"/>
            <w:vMerge w:val="restart"/>
          </w:tcPr>
          <w:p w14:paraId="4E0E131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матеріалів, речовин і виробів</w:t>
            </w:r>
          </w:p>
        </w:tc>
      </w:tr>
      <w:tr w:rsidR="005B6D66" w:rsidRPr="00863528" w14:paraId="3E71BDE8" w14:textId="77777777" w:rsidTr="00024D65">
        <w:trPr>
          <w:trHeight w:val="313"/>
        </w:trPr>
        <w:tc>
          <w:tcPr>
            <w:tcW w:w="709" w:type="dxa"/>
          </w:tcPr>
          <w:p w14:paraId="66310465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1828FA1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08CCCD69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33F0F8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2D91C618" w14:textId="77777777" w:rsidTr="00024D65">
        <w:trPr>
          <w:trHeight w:val="313"/>
        </w:trPr>
        <w:tc>
          <w:tcPr>
            <w:tcW w:w="709" w:type="dxa"/>
          </w:tcPr>
          <w:p w14:paraId="2C8F4403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F30F744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648AACD0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3714A1D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32935E2F" w14:textId="77777777" w:rsidTr="00024D65">
        <w:trPr>
          <w:trHeight w:val="313"/>
        </w:trPr>
        <w:tc>
          <w:tcPr>
            <w:tcW w:w="709" w:type="dxa"/>
          </w:tcPr>
          <w:p w14:paraId="4C694C67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EA4E268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повинен бути </w:t>
            </w:r>
          </w:p>
        </w:tc>
        <w:tc>
          <w:tcPr>
            <w:tcW w:w="2976" w:type="dxa"/>
          </w:tcPr>
          <w:p w14:paraId="168EAB91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7A588FD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5698355A" w14:textId="77777777" w:rsidTr="00024D65">
        <w:trPr>
          <w:trHeight w:val="75"/>
        </w:trPr>
        <w:tc>
          <w:tcPr>
            <w:tcW w:w="709" w:type="dxa"/>
          </w:tcPr>
          <w:p w14:paraId="5A910FB5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355" w:type="dxa"/>
          </w:tcPr>
          <w:p w14:paraId="0A147C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Барій хлористий 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EF5599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357B4F2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DECB75C" w14:textId="77777777" w:rsidTr="00024D65">
        <w:trPr>
          <w:trHeight w:val="188"/>
        </w:trPr>
        <w:tc>
          <w:tcPr>
            <w:tcW w:w="709" w:type="dxa"/>
          </w:tcPr>
          <w:p w14:paraId="2843A1A7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59D42F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D1F83A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 w:val="restart"/>
          </w:tcPr>
          <w:p w14:paraId="7D0B84A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19E62D7E" w14:textId="77777777" w:rsidTr="00024D65">
        <w:trPr>
          <w:trHeight w:val="188"/>
        </w:trPr>
        <w:tc>
          <w:tcPr>
            <w:tcW w:w="709" w:type="dxa"/>
          </w:tcPr>
          <w:p w14:paraId="3D43235B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3B0393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2A8FE70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е менше ніж 99</w:t>
            </w: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%</w:t>
            </w:r>
          </w:p>
        </w:tc>
        <w:tc>
          <w:tcPr>
            <w:tcW w:w="2599" w:type="dxa"/>
            <w:vMerge/>
          </w:tcPr>
          <w:p w14:paraId="6D9F78B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6902EAF5" w14:textId="77777777" w:rsidTr="00024D65">
        <w:trPr>
          <w:trHeight w:val="188"/>
        </w:trPr>
        <w:tc>
          <w:tcPr>
            <w:tcW w:w="709" w:type="dxa"/>
          </w:tcPr>
          <w:p w14:paraId="2E6BF2BF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E4C572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51B8AE9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350DAF1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7DA0569A" w14:textId="77777777" w:rsidTr="00024D65">
        <w:trPr>
          <w:trHeight w:val="188"/>
        </w:trPr>
        <w:tc>
          <w:tcPr>
            <w:tcW w:w="709" w:type="dxa"/>
          </w:tcPr>
          <w:p w14:paraId="2FFC9E88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95AA5F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759DD7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435DB97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7D794287" w14:textId="77777777" w:rsidTr="00024D65">
        <w:trPr>
          <w:trHeight w:val="126"/>
        </w:trPr>
        <w:tc>
          <w:tcPr>
            <w:tcW w:w="709" w:type="dxa"/>
          </w:tcPr>
          <w:p w14:paraId="0B274C62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355" w:type="dxa"/>
          </w:tcPr>
          <w:p w14:paraId="7DA9F79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Кислота азотна 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7C8C00D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14:paraId="220A3AA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FFFAFD8" w14:textId="77777777" w:rsidTr="00024D65">
        <w:trPr>
          <w:trHeight w:val="161"/>
        </w:trPr>
        <w:tc>
          <w:tcPr>
            <w:tcW w:w="709" w:type="dxa"/>
          </w:tcPr>
          <w:p w14:paraId="2FFA2CC8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B94B25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0289E07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особливо чистий</w:t>
            </w:r>
          </w:p>
        </w:tc>
        <w:tc>
          <w:tcPr>
            <w:tcW w:w="2599" w:type="dxa"/>
            <w:vMerge w:val="restart"/>
          </w:tcPr>
          <w:p w14:paraId="7E73EAB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411463F6" w14:textId="77777777" w:rsidTr="00024D65">
        <w:trPr>
          <w:trHeight w:val="161"/>
        </w:trPr>
        <w:tc>
          <w:tcPr>
            <w:tcW w:w="709" w:type="dxa"/>
          </w:tcPr>
          <w:p w14:paraId="4F09C1B7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45977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375A8EE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менше ніж 65 %</w:t>
            </w:r>
          </w:p>
        </w:tc>
        <w:tc>
          <w:tcPr>
            <w:tcW w:w="2599" w:type="dxa"/>
            <w:vMerge/>
          </w:tcPr>
          <w:p w14:paraId="2828D23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775C4565" w14:textId="77777777" w:rsidTr="00024D65">
        <w:trPr>
          <w:trHeight w:val="161"/>
        </w:trPr>
        <w:tc>
          <w:tcPr>
            <w:tcW w:w="709" w:type="dxa"/>
          </w:tcPr>
          <w:p w14:paraId="464BBD1E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2A2FF3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2224C5B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77C262F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51F88DD8" w14:textId="77777777" w:rsidTr="00024D65">
        <w:trPr>
          <w:trHeight w:val="161"/>
        </w:trPr>
        <w:tc>
          <w:tcPr>
            <w:tcW w:w="709" w:type="dxa"/>
          </w:tcPr>
          <w:p w14:paraId="29DF2A9B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-8" w:hanging="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17239F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626F21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, що забезпечує його 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схоронність</w:t>
            </w:r>
          </w:p>
        </w:tc>
        <w:tc>
          <w:tcPr>
            <w:tcW w:w="2599" w:type="dxa"/>
          </w:tcPr>
          <w:p w14:paraId="5F22B7F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схоронності та уникнення можливого </w:t>
            </w: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забруднення реактиву</w:t>
            </w:r>
          </w:p>
        </w:tc>
      </w:tr>
      <w:tr w:rsidR="005B6D66" w:rsidRPr="00B314E4" w14:paraId="7A90FECB" w14:textId="77777777" w:rsidTr="00024D65">
        <w:trPr>
          <w:trHeight w:val="126"/>
        </w:trPr>
        <w:tc>
          <w:tcPr>
            <w:tcW w:w="709" w:type="dxa"/>
          </w:tcPr>
          <w:p w14:paraId="47666EC3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355" w:type="dxa"/>
          </w:tcPr>
          <w:p w14:paraId="3FB3F9C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Кислота аскорбінова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7681C69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6BAD833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26981579" w14:textId="77777777" w:rsidTr="00024D65">
        <w:trPr>
          <w:trHeight w:val="126"/>
        </w:trPr>
        <w:tc>
          <w:tcPr>
            <w:tcW w:w="709" w:type="dxa"/>
          </w:tcPr>
          <w:p w14:paraId="278BBC24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6BD7770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1D9BCCAC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вигляді білого кристалічного порошку або безбарвних кристалів</w:t>
            </w:r>
          </w:p>
        </w:tc>
        <w:tc>
          <w:tcPr>
            <w:tcW w:w="2599" w:type="dxa"/>
            <w:vMerge w:val="restart"/>
          </w:tcPr>
          <w:p w14:paraId="7D0792C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4ACF06C8" w14:textId="77777777" w:rsidTr="00024D65">
        <w:trPr>
          <w:trHeight w:val="126"/>
        </w:trPr>
        <w:tc>
          <w:tcPr>
            <w:tcW w:w="709" w:type="dxa"/>
          </w:tcPr>
          <w:p w14:paraId="337C899E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BB830E3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74386108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31EF77A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387A02E1" w14:textId="77777777" w:rsidTr="00024D65">
        <w:trPr>
          <w:trHeight w:val="126"/>
        </w:trPr>
        <w:tc>
          <w:tcPr>
            <w:tcW w:w="709" w:type="dxa"/>
          </w:tcPr>
          <w:p w14:paraId="034405D2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39FF0A0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09DF11D5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4DBBCB7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5E2B1FEF" w14:textId="77777777" w:rsidTr="00024D65">
        <w:trPr>
          <w:trHeight w:val="126"/>
        </w:trPr>
        <w:tc>
          <w:tcPr>
            <w:tcW w:w="709" w:type="dxa"/>
          </w:tcPr>
          <w:p w14:paraId="3BCD395F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B1EBDDD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7566A4A5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7DC7343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DFC1EB1" w14:textId="77777777" w:rsidTr="00024D65">
        <w:trPr>
          <w:trHeight w:val="126"/>
        </w:trPr>
        <w:tc>
          <w:tcPr>
            <w:tcW w:w="709" w:type="dxa"/>
          </w:tcPr>
          <w:p w14:paraId="3774FAB4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355" w:type="dxa"/>
          </w:tcPr>
          <w:p w14:paraId="1DC28DE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Кислота хлорна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BCBA25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5E1F333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4CCCB54C" w14:textId="77777777" w:rsidTr="00024D65">
        <w:trPr>
          <w:trHeight w:val="126"/>
        </w:trPr>
        <w:tc>
          <w:tcPr>
            <w:tcW w:w="709" w:type="dxa"/>
          </w:tcPr>
          <w:p w14:paraId="7C324D1B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0C4F8B9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0F86AB0D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 вигляді безбарвної прозорої рідини</w:t>
            </w:r>
          </w:p>
        </w:tc>
        <w:tc>
          <w:tcPr>
            <w:tcW w:w="2599" w:type="dxa"/>
            <w:vMerge w:val="restart"/>
          </w:tcPr>
          <w:p w14:paraId="3C5CBD0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20C4E978" w14:textId="77777777" w:rsidTr="00024D65">
        <w:trPr>
          <w:trHeight w:val="126"/>
        </w:trPr>
        <w:tc>
          <w:tcPr>
            <w:tcW w:w="709" w:type="dxa"/>
          </w:tcPr>
          <w:p w14:paraId="6453F2D5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397C780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70CD1F1D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</w:tcPr>
          <w:p w14:paraId="082F7C6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7CBE0FC9" w14:textId="77777777" w:rsidTr="00024D65">
        <w:trPr>
          <w:trHeight w:val="126"/>
        </w:trPr>
        <w:tc>
          <w:tcPr>
            <w:tcW w:w="709" w:type="dxa"/>
          </w:tcPr>
          <w:p w14:paraId="3D3D56D8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539636C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35A826F6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65 %</w:t>
            </w:r>
          </w:p>
        </w:tc>
        <w:tc>
          <w:tcPr>
            <w:tcW w:w="2599" w:type="dxa"/>
            <w:vMerge/>
          </w:tcPr>
          <w:p w14:paraId="0EEB879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537B6F91" w14:textId="77777777" w:rsidTr="00024D65">
        <w:trPr>
          <w:trHeight w:val="126"/>
        </w:trPr>
        <w:tc>
          <w:tcPr>
            <w:tcW w:w="709" w:type="dxa"/>
          </w:tcPr>
          <w:p w14:paraId="227080FE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1114433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1E722DA6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1D4DF9F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5AFDC2F6" w14:textId="77777777" w:rsidTr="00024D65">
        <w:trPr>
          <w:trHeight w:val="126"/>
        </w:trPr>
        <w:tc>
          <w:tcPr>
            <w:tcW w:w="709" w:type="dxa"/>
          </w:tcPr>
          <w:p w14:paraId="4173EAA9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6FE3F32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2CB26EC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36A109B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50E84C18" w14:textId="77777777" w:rsidTr="00024D65">
        <w:trPr>
          <w:trHeight w:val="126"/>
        </w:trPr>
        <w:tc>
          <w:tcPr>
            <w:tcW w:w="709" w:type="dxa"/>
          </w:tcPr>
          <w:p w14:paraId="542D3447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355" w:type="dxa"/>
          </w:tcPr>
          <w:p w14:paraId="653B6A9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Амоній оцтовокислий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3376460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5B6871F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A2E66D5" w14:textId="77777777" w:rsidTr="00024D65">
        <w:trPr>
          <w:trHeight w:val="126"/>
        </w:trPr>
        <w:tc>
          <w:tcPr>
            <w:tcW w:w="709" w:type="dxa"/>
          </w:tcPr>
          <w:p w14:paraId="7ABC263B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F13ACC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50D743C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</w:t>
            </w:r>
          </w:p>
        </w:tc>
        <w:tc>
          <w:tcPr>
            <w:tcW w:w="2599" w:type="dxa"/>
            <w:vMerge w:val="restart"/>
          </w:tcPr>
          <w:p w14:paraId="6D4EFC3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судової експертизи матеріалів, речовин і виробів</w:t>
            </w:r>
          </w:p>
        </w:tc>
      </w:tr>
      <w:tr w:rsidR="005B6D66" w:rsidRPr="00863528" w14:paraId="070ECFD2" w14:textId="77777777" w:rsidTr="00024D65">
        <w:trPr>
          <w:trHeight w:val="126"/>
        </w:trPr>
        <w:tc>
          <w:tcPr>
            <w:tcW w:w="709" w:type="dxa"/>
          </w:tcPr>
          <w:p w14:paraId="312BAA4F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33163A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48C7E38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менше ніж 98 %</w:t>
            </w:r>
          </w:p>
        </w:tc>
        <w:tc>
          <w:tcPr>
            <w:tcW w:w="2599" w:type="dxa"/>
            <w:vMerge/>
          </w:tcPr>
          <w:p w14:paraId="37710D0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2BA33B8C" w14:textId="77777777" w:rsidTr="00024D65">
        <w:trPr>
          <w:trHeight w:val="126"/>
        </w:trPr>
        <w:tc>
          <w:tcPr>
            <w:tcW w:w="709" w:type="dxa"/>
          </w:tcPr>
          <w:p w14:paraId="5E4756D2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1DAA49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6BE8D05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5D8E000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5B6D66" w:rsidRPr="00B314E4" w14:paraId="4B20530C" w14:textId="77777777" w:rsidTr="00024D65">
        <w:trPr>
          <w:trHeight w:val="126"/>
        </w:trPr>
        <w:tc>
          <w:tcPr>
            <w:tcW w:w="709" w:type="dxa"/>
          </w:tcPr>
          <w:p w14:paraId="30303623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499B31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5778FD3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 до реактиву герметичній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його схоронність</w:t>
            </w:r>
          </w:p>
        </w:tc>
        <w:tc>
          <w:tcPr>
            <w:tcW w:w="2599" w:type="dxa"/>
          </w:tcPr>
          <w:p w14:paraId="5796B16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0D6B1908" w14:textId="77777777" w:rsidTr="00024D65">
        <w:trPr>
          <w:trHeight w:val="126"/>
        </w:trPr>
        <w:tc>
          <w:tcPr>
            <w:tcW w:w="709" w:type="dxa"/>
          </w:tcPr>
          <w:p w14:paraId="321EC7A8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355" w:type="dxa"/>
          </w:tcPr>
          <w:p w14:paraId="61DE38C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Набір </w:t>
            </w: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стандарт-титрів</w:t>
            </w: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для приготування буферних розчинів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2534B50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7210E69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2C878AEB" w14:textId="77777777" w:rsidTr="00024D65">
        <w:trPr>
          <w:trHeight w:val="1155"/>
        </w:trPr>
        <w:tc>
          <w:tcPr>
            <w:tcW w:w="709" w:type="dxa"/>
          </w:tcPr>
          <w:p w14:paraId="60AC0A37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310D6AB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Набір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включає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78082D2B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 скляних ампул з </w:t>
            </w: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реактивом</w:t>
            </w:r>
          </w:p>
        </w:tc>
        <w:tc>
          <w:tcPr>
            <w:tcW w:w="2599" w:type="dxa"/>
          </w:tcPr>
          <w:p w14:paraId="6CB9BCA9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B314E4" w14:paraId="7B7DC6D6" w14:textId="77777777" w:rsidTr="00024D65">
        <w:trPr>
          <w:trHeight w:val="1155"/>
        </w:trPr>
        <w:tc>
          <w:tcPr>
            <w:tcW w:w="709" w:type="dxa"/>
          </w:tcPr>
          <w:p w14:paraId="66E92605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964870E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409DD384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01C847F9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56EA50E6" w14:textId="77777777" w:rsidTr="00024D65">
        <w:trPr>
          <w:trHeight w:val="1155"/>
        </w:trPr>
        <w:tc>
          <w:tcPr>
            <w:tcW w:w="709" w:type="dxa"/>
          </w:tcPr>
          <w:p w14:paraId="23420678" w14:textId="77777777" w:rsidR="005B6D66" w:rsidRPr="005713A9" w:rsidRDefault="005B6D66" w:rsidP="005B6D66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6FEE46A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Товар </w:t>
            </w:r>
          </w:p>
        </w:tc>
        <w:tc>
          <w:tcPr>
            <w:tcW w:w="2976" w:type="dxa"/>
          </w:tcPr>
          <w:p w14:paraId="6B8D8089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упаковани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в оригінальн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виробника, що забезпечує схоронність скляних ампул</w:t>
            </w:r>
          </w:p>
        </w:tc>
        <w:tc>
          <w:tcPr>
            <w:tcW w:w="2599" w:type="dxa"/>
          </w:tcPr>
          <w:p w14:paraId="2E88F34B" w14:textId="77777777" w:rsidR="005B6D66" w:rsidRPr="00201B2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225C81AD" w14:textId="77777777" w:rsidTr="00024D65">
        <w:trPr>
          <w:trHeight w:val="126"/>
        </w:trPr>
        <w:tc>
          <w:tcPr>
            <w:tcW w:w="709" w:type="dxa"/>
          </w:tcPr>
          <w:p w14:paraId="762E5A6C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355" w:type="dxa"/>
          </w:tcPr>
          <w:p w14:paraId="6B4FDD6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Срібло азотнокисле 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71ED1E6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30B4C7A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2C6042C4" w14:textId="77777777" w:rsidTr="00024D65">
        <w:trPr>
          <w:trHeight w:val="126"/>
        </w:trPr>
        <w:tc>
          <w:tcPr>
            <w:tcW w:w="709" w:type="dxa"/>
          </w:tcPr>
          <w:p w14:paraId="51E7972C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C9F5E35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8EDEE52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 вигляді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блискучого кристалічного порошку</w:t>
            </w:r>
          </w:p>
        </w:tc>
        <w:tc>
          <w:tcPr>
            <w:tcW w:w="2599" w:type="dxa"/>
            <w:vMerge w:val="restart"/>
          </w:tcPr>
          <w:p w14:paraId="6ADC9C2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4D975E38" w14:textId="77777777" w:rsidTr="00024D65">
        <w:trPr>
          <w:trHeight w:val="126"/>
        </w:trPr>
        <w:tc>
          <w:tcPr>
            <w:tcW w:w="709" w:type="dxa"/>
          </w:tcPr>
          <w:p w14:paraId="03EE1992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057AAA3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1E3A1CB0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</w:tcPr>
          <w:p w14:paraId="366B4DE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54893768" w14:textId="77777777" w:rsidTr="00024D65">
        <w:trPr>
          <w:trHeight w:val="126"/>
        </w:trPr>
        <w:tc>
          <w:tcPr>
            <w:tcW w:w="709" w:type="dxa"/>
          </w:tcPr>
          <w:p w14:paraId="43066E00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8B6BFCD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45E91874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1A5BF31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577C9E7" w14:textId="77777777" w:rsidTr="00024D65">
        <w:trPr>
          <w:trHeight w:val="126"/>
        </w:trPr>
        <w:tc>
          <w:tcPr>
            <w:tcW w:w="709" w:type="dxa"/>
          </w:tcPr>
          <w:p w14:paraId="2F1F7543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4E25511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59E66330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7678057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38B15F65" w14:textId="77777777" w:rsidTr="00024D65">
        <w:trPr>
          <w:trHeight w:val="126"/>
        </w:trPr>
        <w:tc>
          <w:tcPr>
            <w:tcW w:w="709" w:type="dxa"/>
          </w:tcPr>
          <w:p w14:paraId="0F898AFF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355" w:type="dxa"/>
          </w:tcPr>
          <w:p w14:paraId="2AA617A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 xml:space="preserve">Сірчана кислота 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0E6324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5A242BC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BAAF766" w14:textId="77777777" w:rsidTr="00024D65">
        <w:trPr>
          <w:trHeight w:val="126"/>
        </w:trPr>
        <w:tc>
          <w:tcPr>
            <w:tcW w:w="709" w:type="dxa"/>
          </w:tcPr>
          <w:p w14:paraId="07A56C34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034B771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316E5EDD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вигляді прозорої безбарвної в’язкої рідини</w:t>
            </w:r>
          </w:p>
        </w:tc>
        <w:tc>
          <w:tcPr>
            <w:tcW w:w="2599" w:type="dxa"/>
            <w:vMerge w:val="restart"/>
          </w:tcPr>
          <w:p w14:paraId="723A250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B314E4" w14:paraId="7B539630" w14:textId="77777777" w:rsidTr="00024D65">
        <w:trPr>
          <w:trHeight w:val="126"/>
        </w:trPr>
        <w:tc>
          <w:tcPr>
            <w:tcW w:w="709" w:type="dxa"/>
          </w:tcPr>
          <w:p w14:paraId="28E1E217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CAB649E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Колір реактиву </w:t>
            </w:r>
          </w:p>
        </w:tc>
        <w:tc>
          <w:tcPr>
            <w:tcW w:w="2976" w:type="dxa"/>
          </w:tcPr>
          <w:p w14:paraId="5640008D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більше ніж 10 одиниць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hazen</w:t>
            </w:r>
            <w:proofErr w:type="spellEnd"/>
          </w:p>
        </w:tc>
        <w:tc>
          <w:tcPr>
            <w:tcW w:w="2599" w:type="dxa"/>
            <w:vMerge/>
          </w:tcPr>
          <w:p w14:paraId="7062048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7D7E1D" w14:paraId="0834708D" w14:textId="77777777" w:rsidTr="00024D65">
        <w:trPr>
          <w:trHeight w:val="126"/>
        </w:trPr>
        <w:tc>
          <w:tcPr>
            <w:tcW w:w="709" w:type="dxa"/>
          </w:tcPr>
          <w:p w14:paraId="50B59AA9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1FB1C89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7982971F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особливо чистий</w:t>
            </w:r>
          </w:p>
        </w:tc>
        <w:tc>
          <w:tcPr>
            <w:tcW w:w="2599" w:type="dxa"/>
            <w:vMerge/>
          </w:tcPr>
          <w:p w14:paraId="21EC7AE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6A85FB57" w14:textId="77777777" w:rsidTr="00024D65">
        <w:trPr>
          <w:trHeight w:val="126"/>
        </w:trPr>
        <w:tc>
          <w:tcPr>
            <w:tcW w:w="709" w:type="dxa"/>
          </w:tcPr>
          <w:p w14:paraId="5ECE8944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474F0D0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05471FC0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менше ніж 95 %</w:t>
            </w:r>
          </w:p>
        </w:tc>
        <w:tc>
          <w:tcPr>
            <w:tcW w:w="2599" w:type="dxa"/>
            <w:vMerge/>
          </w:tcPr>
          <w:p w14:paraId="1499C77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38102114" w14:textId="77777777" w:rsidTr="00024D65">
        <w:trPr>
          <w:trHeight w:val="126"/>
        </w:trPr>
        <w:tc>
          <w:tcPr>
            <w:tcW w:w="709" w:type="dxa"/>
          </w:tcPr>
          <w:p w14:paraId="31083403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2C03726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43108166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6B4102A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33AFB2B2" w14:textId="77777777" w:rsidTr="00024D65">
        <w:trPr>
          <w:trHeight w:val="126"/>
        </w:trPr>
        <w:tc>
          <w:tcPr>
            <w:tcW w:w="709" w:type="dxa"/>
          </w:tcPr>
          <w:p w14:paraId="5DD1D6B4" w14:textId="77777777" w:rsidR="005B6D66" w:rsidRPr="00E21870" w:rsidRDefault="005B6D66" w:rsidP="005B6D66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-8" w:hanging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6269A72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21FFE633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712F03B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12BD6C2" w14:textId="77777777" w:rsidTr="00024D65">
        <w:trPr>
          <w:trHeight w:val="126"/>
        </w:trPr>
        <w:tc>
          <w:tcPr>
            <w:tcW w:w="709" w:type="dxa"/>
          </w:tcPr>
          <w:p w14:paraId="76671753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355" w:type="dxa"/>
          </w:tcPr>
          <w:p w14:paraId="6BF6C1F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</w:t>
            </w:r>
            <w:proofErr w:type="spellStart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мультиелементний</w:t>
            </w:r>
            <w:proofErr w:type="spellEnd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 для елементного аналізу на 30 елементів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747CE40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764571C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42577034" w14:textId="77777777" w:rsidTr="00024D65">
        <w:trPr>
          <w:trHeight w:val="126"/>
        </w:trPr>
        <w:tc>
          <w:tcPr>
            <w:tcW w:w="709" w:type="dxa"/>
          </w:tcPr>
          <w:p w14:paraId="69DAB21B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5EFA9A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Реактив призначений</w:t>
            </w:r>
          </w:p>
        </w:tc>
        <w:tc>
          <w:tcPr>
            <w:tcW w:w="2976" w:type="dxa"/>
          </w:tcPr>
          <w:p w14:paraId="564C181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для проведення досліджень методом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мас-спектрометрії з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індуктивно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-зв’язаною плазмою</w:t>
            </w:r>
          </w:p>
        </w:tc>
        <w:tc>
          <w:tcPr>
            <w:tcW w:w="2599" w:type="dxa"/>
            <w:vMerge w:val="restart"/>
          </w:tcPr>
          <w:p w14:paraId="40456C45" w14:textId="77777777" w:rsidR="005B6D66" w:rsidRPr="00557533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557533" w14:paraId="5B89A7AB" w14:textId="77777777" w:rsidTr="00024D65">
        <w:trPr>
          <w:trHeight w:val="126"/>
        </w:trPr>
        <w:tc>
          <w:tcPr>
            <w:tcW w:w="709" w:type="dxa"/>
          </w:tcPr>
          <w:p w14:paraId="2F784C44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5128A3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Концентрація кальцію в реактиві </w:t>
            </w:r>
          </w:p>
        </w:tc>
        <w:tc>
          <w:tcPr>
            <w:tcW w:w="2976" w:type="dxa"/>
          </w:tcPr>
          <w:p w14:paraId="234D650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1000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мкг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/мл</w:t>
            </w:r>
          </w:p>
        </w:tc>
        <w:tc>
          <w:tcPr>
            <w:tcW w:w="2599" w:type="dxa"/>
            <w:vMerge/>
          </w:tcPr>
          <w:p w14:paraId="6B2A945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</w:p>
        </w:tc>
      </w:tr>
      <w:tr w:rsidR="005B6D66" w:rsidRPr="00557533" w14:paraId="5AB42900" w14:textId="77777777" w:rsidTr="00024D65">
        <w:trPr>
          <w:trHeight w:val="126"/>
        </w:trPr>
        <w:tc>
          <w:tcPr>
            <w:tcW w:w="709" w:type="dxa"/>
          </w:tcPr>
          <w:p w14:paraId="4AF231D9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86F2CC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Концентрація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арсенію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заліза, берилію, бору, селену та цинку в реактиві </w:t>
            </w:r>
          </w:p>
        </w:tc>
        <w:tc>
          <w:tcPr>
            <w:tcW w:w="2976" w:type="dxa"/>
          </w:tcPr>
          <w:p w14:paraId="6C16553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100 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мкг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/мл кожного</w:t>
            </w:r>
          </w:p>
        </w:tc>
        <w:tc>
          <w:tcPr>
            <w:tcW w:w="2599" w:type="dxa"/>
            <w:vMerge/>
          </w:tcPr>
          <w:p w14:paraId="2FD007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</w:p>
        </w:tc>
      </w:tr>
      <w:tr w:rsidR="005B6D66" w:rsidRPr="00557533" w14:paraId="390BD290" w14:textId="77777777" w:rsidTr="00024D65">
        <w:trPr>
          <w:trHeight w:val="126"/>
        </w:trPr>
        <w:tc>
          <w:tcPr>
            <w:tcW w:w="709" w:type="dxa"/>
          </w:tcPr>
          <w:p w14:paraId="4C95C8A7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93F9ED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Концентрація вісмуту, телуру, урану, галію, літію, мангану, натрію, свинцю, барію, алюмінію, кобальту, міді, стронцію, талію, ванадію, калію, магнію, молібдену, нікелю, рубідію, срібла, кадмію, хрому в реактиві </w:t>
            </w:r>
          </w:p>
        </w:tc>
        <w:tc>
          <w:tcPr>
            <w:tcW w:w="2976" w:type="dxa"/>
          </w:tcPr>
          <w:p w14:paraId="08BD4E5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10 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мкг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/мл кожного</w:t>
            </w:r>
          </w:p>
        </w:tc>
        <w:tc>
          <w:tcPr>
            <w:tcW w:w="2599" w:type="dxa"/>
            <w:vMerge/>
          </w:tcPr>
          <w:p w14:paraId="6173F85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</w:p>
        </w:tc>
      </w:tr>
      <w:tr w:rsidR="005B6D66" w:rsidRPr="00557533" w14:paraId="0982CDF0" w14:textId="77777777" w:rsidTr="00024D65">
        <w:trPr>
          <w:trHeight w:val="126"/>
        </w:trPr>
        <w:tc>
          <w:tcPr>
            <w:tcW w:w="709" w:type="dxa"/>
          </w:tcPr>
          <w:p w14:paraId="1599C2CB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6D2AF7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Матриц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реактиву </w:t>
            </w:r>
          </w:p>
        </w:tc>
        <w:tc>
          <w:tcPr>
            <w:tcW w:w="2976" w:type="dxa"/>
          </w:tcPr>
          <w:p w14:paraId="1BA2AAF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5 % розчин азотної кислоти (HNO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uk-UA"/>
              </w:rPr>
              <w:t>3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599" w:type="dxa"/>
            <w:vMerge/>
          </w:tcPr>
          <w:p w14:paraId="4A85C92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</w:p>
        </w:tc>
      </w:tr>
      <w:tr w:rsidR="005B6D66" w:rsidRPr="00557533" w14:paraId="07A33D1F" w14:textId="77777777" w:rsidTr="00024D65">
        <w:trPr>
          <w:trHeight w:val="126"/>
        </w:trPr>
        <w:tc>
          <w:tcPr>
            <w:tcW w:w="709" w:type="dxa"/>
          </w:tcPr>
          <w:p w14:paraId="7A2331D2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33B49F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Об’єм реактиву </w:t>
            </w:r>
          </w:p>
        </w:tc>
        <w:tc>
          <w:tcPr>
            <w:tcW w:w="2976" w:type="dxa"/>
          </w:tcPr>
          <w:p w14:paraId="04923CC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125 мл.</w:t>
            </w:r>
          </w:p>
        </w:tc>
        <w:tc>
          <w:tcPr>
            <w:tcW w:w="2599" w:type="dxa"/>
            <w:vMerge/>
          </w:tcPr>
          <w:p w14:paraId="7931D41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</w:p>
        </w:tc>
      </w:tr>
      <w:tr w:rsidR="005B6D66" w:rsidRPr="00B314E4" w14:paraId="1B3828D5" w14:textId="77777777" w:rsidTr="00024D65">
        <w:trPr>
          <w:trHeight w:val="126"/>
        </w:trPr>
        <w:tc>
          <w:tcPr>
            <w:tcW w:w="709" w:type="dxa"/>
          </w:tcPr>
          <w:p w14:paraId="1C6C86FC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A8338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6712E79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5B4C5A7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401ACF3D" w14:textId="77777777" w:rsidTr="00024D65">
        <w:trPr>
          <w:trHeight w:val="126"/>
        </w:trPr>
        <w:tc>
          <w:tcPr>
            <w:tcW w:w="709" w:type="dxa"/>
          </w:tcPr>
          <w:p w14:paraId="5483286D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6B2CE8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54A96D8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02DBAA2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496F49EB" w14:textId="77777777" w:rsidTr="00024D65">
        <w:trPr>
          <w:trHeight w:val="126"/>
        </w:trPr>
        <w:tc>
          <w:tcPr>
            <w:tcW w:w="709" w:type="dxa"/>
          </w:tcPr>
          <w:p w14:paraId="5F8D3EC9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355" w:type="dxa"/>
          </w:tcPr>
          <w:p w14:paraId="48AE9DE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</w:t>
            </w:r>
            <w:proofErr w:type="spellStart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мультиелементний</w:t>
            </w:r>
            <w:proofErr w:type="spellEnd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 для елементного аналізу на 43 елементи в азотній кислоті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DEB9A0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0281D25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40743E3E" w14:textId="77777777" w:rsidTr="00024D65">
        <w:trPr>
          <w:trHeight w:val="126"/>
        </w:trPr>
        <w:tc>
          <w:tcPr>
            <w:tcW w:w="709" w:type="dxa"/>
          </w:tcPr>
          <w:p w14:paraId="4D738EF2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53FAAD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призначений </w:t>
            </w:r>
          </w:p>
        </w:tc>
        <w:tc>
          <w:tcPr>
            <w:tcW w:w="2976" w:type="dxa"/>
          </w:tcPr>
          <w:p w14:paraId="5689B42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для проведення досліджень методом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мас-спектрометрії з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індуктивно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-зв’язаною плазмою</w:t>
            </w:r>
          </w:p>
        </w:tc>
        <w:tc>
          <w:tcPr>
            <w:tcW w:w="2599" w:type="dxa"/>
            <w:vMerge w:val="restart"/>
          </w:tcPr>
          <w:p w14:paraId="7BD1F36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557533" w14:paraId="6B50AE3A" w14:textId="77777777" w:rsidTr="00024D65">
        <w:trPr>
          <w:trHeight w:val="126"/>
        </w:trPr>
        <w:tc>
          <w:tcPr>
            <w:tcW w:w="709" w:type="dxa"/>
          </w:tcPr>
          <w:p w14:paraId="4684996E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7FEE0A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Концентрація срібла, алюмінію,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арсенію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бору, барію, берилію, кальцію, кадмію, церію, кобальту, хрому, цезію, міді,  диспрозію, ербію, європію, заліза, галію,  гадолінію, гольмію, калію, лантану,  лютецію, магнію, мангану, натрію,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неодимію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нікелю, фосфору, свинцю,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празеодимію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рубідію, сірки, селену, самарію, стронцію, торію, талію, тулію, урану, ванадію, ітербію та цинку в реактиві </w:t>
            </w:r>
          </w:p>
        </w:tc>
        <w:tc>
          <w:tcPr>
            <w:tcW w:w="2976" w:type="dxa"/>
          </w:tcPr>
          <w:p w14:paraId="37FE7D9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10 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мкг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/мл кожного</w:t>
            </w:r>
          </w:p>
        </w:tc>
        <w:tc>
          <w:tcPr>
            <w:tcW w:w="2599" w:type="dxa"/>
            <w:vMerge/>
          </w:tcPr>
          <w:p w14:paraId="3925699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863528" w14:paraId="06C138A6" w14:textId="77777777" w:rsidTr="00024D65">
        <w:trPr>
          <w:trHeight w:val="126"/>
        </w:trPr>
        <w:tc>
          <w:tcPr>
            <w:tcW w:w="709" w:type="dxa"/>
          </w:tcPr>
          <w:p w14:paraId="1138E840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32986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Матриця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реактиву </w:t>
            </w:r>
          </w:p>
        </w:tc>
        <w:tc>
          <w:tcPr>
            <w:tcW w:w="2976" w:type="dxa"/>
          </w:tcPr>
          <w:p w14:paraId="630E316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3 % розчин азотної кислоти (HNO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uk-UA"/>
              </w:rPr>
              <w:t>3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599" w:type="dxa"/>
            <w:vMerge/>
          </w:tcPr>
          <w:p w14:paraId="328A829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863528" w14:paraId="2CE4340A" w14:textId="77777777" w:rsidTr="00024D65">
        <w:trPr>
          <w:trHeight w:val="126"/>
        </w:trPr>
        <w:tc>
          <w:tcPr>
            <w:tcW w:w="709" w:type="dxa"/>
          </w:tcPr>
          <w:p w14:paraId="3DA6DE98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5B6401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Об’єм реактиву </w:t>
            </w:r>
          </w:p>
        </w:tc>
        <w:tc>
          <w:tcPr>
            <w:tcW w:w="2976" w:type="dxa"/>
          </w:tcPr>
          <w:p w14:paraId="7BC5882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125 мл.</w:t>
            </w:r>
          </w:p>
        </w:tc>
        <w:tc>
          <w:tcPr>
            <w:tcW w:w="2599" w:type="dxa"/>
            <w:vMerge/>
          </w:tcPr>
          <w:p w14:paraId="6404F2D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D19A1A9" w14:textId="77777777" w:rsidTr="00024D65">
        <w:trPr>
          <w:trHeight w:val="126"/>
        </w:trPr>
        <w:tc>
          <w:tcPr>
            <w:tcW w:w="709" w:type="dxa"/>
          </w:tcPr>
          <w:p w14:paraId="49AD1DA1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156739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3C9D5A5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7B9FD0C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39836972" w14:textId="77777777" w:rsidTr="00024D65">
        <w:trPr>
          <w:trHeight w:val="126"/>
        </w:trPr>
        <w:tc>
          <w:tcPr>
            <w:tcW w:w="709" w:type="dxa"/>
          </w:tcPr>
          <w:p w14:paraId="1B5BA6F0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620172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8254EC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0A4CA5D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287B9B24" w14:textId="77777777" w:rsidTr="00024D65">
        <w:trPr>
          <w:trHeight w:val="126"/>
        </w:trPr>
        <w:tc>
          <w:tcPr>
            <w:tcW w:w="709" w:type="dxa"/>
          </w:tcPr>
          <w:p w14:paraId="01711EAC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355" w:type="dxa"/>
          </w:tcPr>
          <w:p w14:paraId="6BB2614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 xml:space="preserve">Натронне </w:t>
            </w:r>
            <w:r w:rsidRPr="00225B46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>вапно (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>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354BEFB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3D38009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11BA6E49" w14:textId="77777777" w:rsidTr="00024D65">
        <w:trPr>
          <w:trHeight w:val="126"/>
        </w:trPr>
        <w:tc>
          <w:tcPr>
            <w:tcW w:w="709" w:type="dxa"/>
          </w:tcPr>
          <w:p w14:paraId="28FB7857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244674A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253B58E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 вигляді гранул 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білого до світло-сірого кольору</w:t>
            </w:r>
          </w:p>
        </w:tc>
        <w:tc>
          <w:tcPr>
            <w:tcW w:w="2599" w:type="dxa"/>
            <w:vMerge w:val="restart"/>
          </w:tcPr>
          <w:p w14:paraId="70CD5EC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557533" w14:paraId="18E9F6E0" w14:textId="77777777" w:rsidTr="00024D65">
        <w:trPr>
          <w:trHeight w:val="126"/>
        </w:trPr>
        <w:tc>
          <w:tcPr>
            <w:tcW w:w="709" w:type="dxa"/>
          </w:tcPr>
          <w:p w14:paraId="3825A696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7748796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6C8236B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 кг</w:t>
            </w:r>
          </w:p>
        </w:tc>
        <w:tc>
          <w:tcPr>
            <w:tcW w:w="2599" w:type="dxa"/>
            <w:vMerge/>
          </w:tcPr>
          <w:p w14:paraId="5A7A17A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585D1E0E" w14:textId="77777777" w:rsidTr="00024D65">
        <w:trPr>
          <w:trHeight w:val="126"/>
        </w:trPr>
        <w:tc>
          <w:tcPr>
            <w:tcW w:w="709" w:type="dxa"/>
          </w:tcPr>
          <w:p w14:paraId="62B0B25C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FB75C19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2854FB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5F3D93D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6AA79FAE" w14:textId="77777777" w:rsidTr="00024D65">
        <w:trPr>
          <w:trHeight w:val="126"/>
        </w:trPr>
        <w:tc>
          <w:tcPr>
            <w:tcW w:w="709" w:type="dxa"/>
          </w:tcPr>
          <w:p w14:paraId="0756EA76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C6D6F82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7D5BA25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3F70EFA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74F76574" w14:textId="77777777" w:rsidTr="00024D65">
        <w:trPr>
          <w:trHeight w:val="126"/>
        </w:trPr>
        <w:tc>
          <w:tcPr>
            <w:tcW w:w="709" w:type="dxa"/>
          </w:tcPr>
          <w:p w14:paraId="3BA5BC44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355" w:type="dxa"/>
          </w:tcPr>
          <w:p w14:paraId="60343F5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>Амоній форміат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 xml:space="preserve">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F6DCC4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4241E4E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61B84B9" w14:textId="77777777" w:rsidTr="00024D65">
        <w:trPr>
          <w:trHeight w:val="126"/>
        </w:trPr>
        <w:tc>
          <w:tcPr>
            <w:tcW w:w="709" w:type="dxa"/>
          </w:tcPr>
          <w:p w14:paraId="51FC16CA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0322C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46599BC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білих дрібних кристалів</w:t>
            </w:r>
          </w:p>
        </w:tc>
        <w:tc>
          <w:tcPr>
            <w:tcW w:w="2599" w:type="dxa"/>
            <w:vMerge w:val="restart"/>
          </w:tcPr>
          <w:p w14:paraId="76BB2F8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6795590C" w14:textId="77777777" w:rsidTr="00024D65">
        <w:trPr>
          <w:trHeight w:val="126"/>
        </w:trPr>
        <w:tc>
          <w:tcPr>
            <w:tcW w:w="709" w:type="dxa"/>
          </w:tcPr>
          <w:p w14:paraId="68BF5AB0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006F59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7608920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41D6C6C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863528" w14:paraId="620D8C17" w14:textId="77777777" w:rsidTr="00024D65">
        <w:trPr>
          <w:trHeight w:val="126"/>
        </w:trPr>
        <w:tc>
          <w:tcPr>
            <w:tcW w:w="709" w:type="dxa"/>
          </w:tcPr>
          <w:p w14:paraId="67861280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D809CF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6A1312E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50 г</w:t>
            </w:r>
          </w:p>
        </w:tc>
        <w:tc>
          <w:tcPr>
            <w:tcW w:w="2599" w:type="dxa"/>
            <w:vMerge/>
          </w:tcPr>
          <w:p w14:paraId="78C96AA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1685B2B" w14:textId="77777777" w:rsidTr="00024D65">
        <w:trPr>
          <w:trHeight w:val="126"/>
        </w:trPr>
        <w:tc>
          <w:tcPr>
            <w:tcW w:w="709" w:type="dxa"/>
          </w:tcPr>
          <w:p w14:paraId="3CC43F46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BC300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018A6C7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366F930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148AF2C" w14:textId="77777777" w:rsidTr="00024D65">
        <w:trPr>
          <w:trHeight w:val="126"/>
        </w:trPr>
        <w:tc>
          <w:tcPr>
            <w:tcW w:w="709" w:type="dxa"/>
          </w:tcPr>
          <w:p w14:paraId="4B7E6DF1" w14:textId="77777777" w:rsidR="005B6D66" w:rsidRPr="00557533" w:rsidRDefault="005B6D66" w:rsidP="005B6D66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C4C90F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</w:t>
            </w:r>
          </w:p>
        </w:tc>
        <w:tc>
          <w:tcPr>
            <w:tcW w:w="2976" w:type="dxa"/>
          </w:tcPr>
          <w:p w14:paraId="30631CF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655B0E8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18FD71E7" w14:textId="77777777" w:rsidTr="00024D65">
        <w:trPr>
          <w:trHeight w:val="126"/>
        </w:trPr>
        <w:tc>
          <w:tcPr>
            <w:tcW w:w="709" w:type="dxa"/>
          </w:tcPr>
          <w:p w14:paraId="0C75274B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355" w:type="dxa"/>
          </w:tcPr>
          <w:p w14:paraId="057128E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Мультиелементний</w:t>
            </w:r>
            <w:proofErr w:type="spellEnd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стандартний розчин для елементного аналізу на 22 елементи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13B431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398AB2E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13C04831" w14:textId="77777777" w:rsidTr="00024D65">
        <w:trPr>
          <w:trHeight w:val="126"/>
        </w:trPr>
        <w:tc>
          <w:tcPr>
            <w:tcW w:w="709" w:type="dxa"/>
          </w:tcPr>
          <w:p w14:paraId="4E0770AD" w14:textId="77777777" w:rsidR="005B6D66" w:rsidRPr="00ED40B0" w:rsidRDefault="005B6D66" w:rsidP="005B6D66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E7A7AD0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0BC6288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виготовлений і сертифікований відповідно до стандартів ISO/IEC 17025 та ISO 17034</w:t>
            </w:r>
          </w:p>
        </w:tc>
        <w:tc>
          <w:tcPr>
            <w:tcW w:w="2599" w:type="dxa"/>
            <w:vMerge w:val="restart"/>
          </w:tcPr>
          <w:p w14:paraId="4C0C6D0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виробів</w:t>
            </w:r>
          </w:p>
        </w:tc>
      </w:tr>
      <w:tr w:rsidR="005B6D66" w:rsidRPr="00557533" w14:paraId="2C594812" w14:textId="77777777" w:rsidTr="00024D65">
        <w:trPr>
          <w:trHeight w:val="126"/>
        </w:trPr>
        <w:tc>
          <w:tcPr>
            <w:tcW w:w="709" w:type="dxa"/>
          </w:tcPr>
          <w:p w14:paraId="529E49AE" w14:textId="77777777" w:rsidR="005B6D66" w:rsidRPr="00ED40B0" w:rsidRDefault="005B6D66" w:rsidP="005B6D66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D7D75CC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Концентрація срібла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Ag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барію (Ва), кальцію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Са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кадмію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Cd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кобальту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Со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), 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міді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Cu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заліза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Fe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магнію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Mg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марганцю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Mn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стронцію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Sr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цинку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Zn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 в реактиві </w:t>
            </w:r>
          </w:p>
        </w:tc>
        <w:tc>
          <w:tcPr>
            <w:tcW w:w="2976" w:type="dxa"/>
          </w:tcPr>
          <w:p w14:paraId="711CE7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10 мг/мл кожного</w:t>
            </w:r>
          </w:p>
        </w:tc>
        <w:tc>
          <w:tcPr>
            <w:tcW w:w="2599" w:type="dxa"/>
            <w:vMerge/>
          </w:tcPr>
          <w:p w14:paraId="7CFA609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7968468C" w14:textId="77777777" w:rsidTr="00024D65">
        <w:trPr>
          <w:trHeight w:val="126"/>
        </w:trPr>
        <w:tc>
          <w:tcPr>
            <w:tcW w:w="709" w:type="dxa"/>
          </w:tcPr>
          <w:p w14:paraId="782E96B4" w14:textId="77777777" w:rsidR="005B6D66" w:rsidRPr="00ED40B0" w:rsidRDefault="005B6D66" w:rsidP="005B6D66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E587220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Концентрація алюмінію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Al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бору (В), хрому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Cr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літію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Li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молібдену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Mo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натрію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Na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нікелю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Ni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), талію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Tl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 в реактиві </w:t>
            </w:r>
          </w:p>
        </w:tc>
        <w:tc>
          <w:tcPr>
            <w:tcW w:w="2976" w:type="dxa"/>
          </w:tcPr>
          <w:p w14:paraId="121EFD7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50 мг/мл кожного</w:t>
            </w:r>
          </w:p>
        </w:tc>
        <w:tc>
          <w:tcPr>
            <w:tcW w:w="2599" w:type="dxa"/>
            <w:vMerge/>
          </w:tcPr>
          <w:p w14:paraId="49EF38F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58100D9F" w14:textId="77777777" w:rsidTr="00024D65">
        <w:trPr>
          <w:trHeight w:val="126"/>
        </w:trPr>
        <w:tc>
          <w:tcPr>
            <w:tcW w:w="709" w:type="dxa"/>
          </w:tcPr>
          <w:p w14:paraId="30675043" w14:textId="77777777" w:rsidR="005B6D66" w:rsidRPr="00ED40B0" w:rsidRDefault="005B6D66" w:rsidP="005B6D66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67EE74C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Концентрація вісмуту (Ві), калію (К), свинцю (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Pb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 в реактиві </w:t>
            </w:r>
          </w:p>
        </w:tc>
        <w:tc>
          <w:tcPr>
            <w:tcW w:w="2976" w:type="dxa"/>
          </w:tcPr>
          <w:p w14:paraId="4D7BF0A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100 мг/мл кожного</w:t>
            </w:r>
          </w:p>
        </w:tc>
        <w:tc>
          <w:tcPr>
            <w:tcW w:w="2599" w:type="dxa"/>
            <w:vMerge/>
          </w:tcPr>
          <w:p w14:paraId="26CB15C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160993E9" w14:textId="77777777" w:rsidTr="00024D65">
        <w:trPr>
          <w:trHeight w:val="126"/>
        </w:trPr>
        <w:tc>
          <w:tcPr>
            <w:tcW w:w="709" w:type="dxa"/>
          </w:tcPr>
          <w:p w14:paraId="7AE776C8" w14:textId="77777777" w:rsidR="005B6D66" w:rsidRPr="00ED40B0" w:rsidRDefault="005B6D66" w:rsidP="005B6D66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CC4D7AF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4693265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100 мл</w:t>
            </w:r>
          </w:p>
        </w:tc>
        <w:tc>
          <w:tcPr>
            <w:tcW w:w="2599" w:type="dxa"/>
            <w:vMerge/>
          </w:tcPr>
          <w:p w14:paraId="1631F82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13B8BE69" w14:textId="77777777" w:rsidTr="00024D65">
        <w:trPr>
          <w:trHeight w:val="126"/>
        </w:trPr>
        <w:tc>
          <w:tcPr>
            <w:tcW w:w="709" w:type="dxa"/>
          </w:tcPr>
          <w:p w14:paraId="087C1DC7" w14:textId="77777777" w:rsidR="005B6D66" w:rsidRPr="00ED40B0" w:rsidRDefault="005B6D66" w:rsidP="005B6D66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C8EFD63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349B8B3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4E399FE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01C6053A" w14:textId="77777777" w:rsidTr="00024D65">
        <w:trPr>
          <w:trHeight w:val="126"/>
        </w:trPr>
        <w:tc>
          <w:tcPr>
            <w:tcW w:w="709" w:type="dxa"/>
          </w:tcPr>
          <w:p w14:paraId="316D72ED" w14:textId="77777777" w:rsidR="005B6D66" w:rsidRPr="00ED40B0" w:rsidRDefault="005B6D66" w:rsidP="005B6D66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EDEAB17" w14:textId="77777777" w:rsidR="005B6D66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F5665A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408678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2E074681" w14:textId="77777777" w:rsidTr="00024D65">
        <w:trPr>
          <w:trHeight w:val="126"/>
        </w:trPr>
        <w:tc>
          <w:tcPr>
            <w:tcW w:w="709" w:type="dxa"/>
          </w:tcPr>
          <w:p w14:paraId="24C33493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355" w:type="dxa"/>
          </w:tcPr>
          <w:p w14:paraId="6FC4AF3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Мідь сірчанокисла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782AA3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1AC90D1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57F93746" w14:textId="77777777" w:rsidTr="00024D65">
        <w:trPr>
          <w:trHeight w:val="126"/>
        </w:trPr>
        <w:tc>
          <w:tcPr>
            <w:tcW w:w="709" w:type="dxa"/>
          </w:tcPr>
          <w:p w14:paraId="682889F8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641D764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56F11189" w14:textId="77777777" w:rsidR="005B6D66" w:rsidRPr="008635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кристалів або кристалічного порошку блакитного кольору</w:t>
            </w:r>
          </w:p>
        </w:tc>
        <w:tc>
          <w:tcPr>
            <w:tcW w:w="2599" w:type="dxa"/>
            <w:vMerge w:val="restart"/>
          </w:tcPr>
          <w:p w14:paraId="793A987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016A8F9D" w14:textId="77777777" w:rsidTr="00024D65">
        <w:trPr>
          <w:trHeight w:val="126"/>
        </w:trPr>
        <w:tc>
          <w:tcPr>
            <w:tcW w:w="709" w:type="dxa"/>
          </w:tcPr>
          <w:p w14:paraId="0ECA4B14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1AEFF28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17F608C" w14:textId="77777777" w:rsidR="005B6D66" w:rsidRPr="008635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</w:tcPr>
          <w:p w14:paraId="7EA7AB7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654B68E7" w14:textId="77777777" w:rsidTr="00024D65">
        <w:trPr>
          <w:trHeight w:val="126"/>
        </w:trPr>
        <w:tc>
          <w:tcPr>
            <w:tcW w:w="709" w:type="dxa"/>
          </w:tcPr>
          <w:p w14:paraId="70142C4F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0F4CE55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5A9C6D04" w14:textId="77777777" w:rsidR="005B6D66" w:rsidRPr="008635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3E0F200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0E909432" w14:textId="77777777" w:rsidTr="00024D65">
        <w:trPr>
          <w:trHeight w:val="126"/>
        </w:trPr>
        <w:tc>
          <w:tcPr>
            <w:tcW w:w="709" w:type="dxa"/>
          </w:tcPr>
          <w:p w14:paraId="19045C02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74A7664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5EACC6F9" w14:textId="77777777" w:rsidR="005B6D66" w:rsidRPr="008635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255A26D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A92C5A1" w14:textId="77777777" w:rsidTr="00024D65">
        <w:trPr>
          <w:trHeight w:val="126"/>
        </w:trPr>
        <w:tc>
          <w:tcPr>
            <w:tcW w:w="709" w:type="dxa"/>
          </w:tcPr>
          <w:p w14:paraId="5B91FB55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A63DC6D" w14:textId="77777777" w:rsidR="005B6D66" w:rsidRPr="00FC4A90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40BEE55" w14:textId="77777777" w:rsidR="005B6D66" w:rsidRPr="0086352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48C2F73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7568642E" w14:textId="77777777" w:rsidTr="00024D65">
        <w:trPr>
          <w:trHeight w:val="126"/>
        </w:trPr>
        <w:tc>
          <w:tcPr>
            <w:tcW w:w="709" w:type="dxa"/>
          </w:tcPr>
          <w:p w14:paraId="6BB4AAB8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355" w:type="dxa"/>
          </w:tcPr>
          <w:p w14:paraId="0D06512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Барвник малахітовий зелений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66405D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06408CD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54256068" w14:textId="77777777" w:rsidTr="00024D65">
        <w:trPr>
          <w:trHeight w:val="126"/>
        </w:trPr>
        <w:tc>
          <w:tcPr>
            <w:tcW w:w="709" w:type="dxa"/>
          </w:tcPr>
          <w:p w14:paraId="40D82283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EB0C15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1DF6514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 вигляді блискучих зелених кристалів</w:t>
            </w:r>
          </w:p>
        </w:tc>
        <w:tc>
          <w:tcPr>
            <w:tcW w:w="2599" w:type="dxa"/>
            <w:vMerge w:val="restart"/>
          </w:tcPr>
          <w:p w14:paraId="0D997B8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судової експертизи матеріалів, речовин і виробів</w:t>
            </w:r>
          </w:p>
        </w:tc>
      </w:tr>
      <w:tr w:rsidR="005B6D66" w:rsidRPr="007D7E1D" w14:paraId="13561CA9" w14:textId="77777777" w:rsidTr="00024D65">
        <w:trPr>
          <w:trHeight w:val="126"/>
        </w:trPr>
        <w:tc>
          <w:tcPr>
            <w:tcW w:w="709" w:type="dxa"/>
          </w:tcPr>
          <w:p w14:paraId="38F0589D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78448E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28EE169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</w:tcPr>
          <w:p w14:paraId="50E59A1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7EED3683" w14:textId="77777777" w:rsidTr="00024D65">
        <w:trPr>
          <w:trHeight w:val="126"/>
        </w:trPr>
        <w:tc>
          <w:tcPr>
            <w:tcW w:w="709" w:type="dxa"/>
          </w:tcPr>
          <w:p w14:paraId="699635DD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29D618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2AB2AC9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2393FA1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7B590DF" w14:textId="77777777" w:rsidTr="00024D65">
        <w:trPr>
          <w:trHeight w:val="126"/>
        </w:trPr>
        <w:tc>
          <w:tcPr>
            <w:tcW w:w="709" w:type="dxa"/>
          </w:tcPr>
          <w:p w14:paraId="6D5145B6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1EC365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DEDEF7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6C07863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2C2EBC72" w14:textId="77777777" w:rsidTr="00024D65">
        <w:trPr>
          <w:trHeight w:val="126"/>
        </w:trPr>
        <w:tc>
          <w:tcPr>
            <w:tcW w:w="709" w:type="dxa"/>
          </w:tcPr>
          <w:p w14:paraId="0B83BC91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355" w:type="dxa"/>
          </w:tcPr>
          <w:p w14:paraId="57E5BC6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Фенолфталеїн </w:t>
            </w: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237977F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05FBE93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5607ACE3" w14:textId="77777777" w:rsidTr="00024D65">
        <w:trPr>
          <w:trHeight w:val="126"/>
        </w:trPr>
        <w:tc>
          <w:tcPr>
            <w:tcW w:w="709" w:type="dxa"/>
          </w:tcPr>
          <w:p w14:paraId="1800369C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B3BC64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1F336AB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 вигляді білого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майже білого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порошку</w:t>
            </w:r>
          </w:p>
        </w:tc>
        <w:tc>
          <w:tcPr>
            <w:tcW w:w="2599" w:type="dxa"/>
            <w:vMerge w:val="restart"/>
          </w:tcPr>
          <w:p w14:paraId="1290BF4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3E029FB3" w14:textId="77777777" w:rsidTr="00024D65">
        <w:trPr>
          <w:trHeight w:val="126"/>
        </w:trPr>
        <w:tc>
          <w:tcPr>
            <w:tcW w:w="709" w:type="dxa"/>
          </w:tcPr>
          <w:p w14:paraId="7F8057FA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9BC180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FF2379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</w:tcPr>
          <w:p w14:paraId="4A4B18C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0DC9671B" w14:textId="77777777" w:rsidTr="00024D65">
        <w:trPr>
          <w:trHeight w:val="126"/>
        </w:trPr>
        <w:tc>
          <w:tcPr>
            <w:tcW w:w="709" w:type="dxa"/>
          </w:tcPr>
          <w:p w14:paraId="05B57737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DAB1CA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4876D17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98 %</w:t>
            </w:r>
          </w:p>
        </w:tc>
        <w:tc>
          <w:tcPr>
            <w:tcW w:w="2599" w:type="dxa"/>
            <w:vMerge/>
          </w:tcPr>
          <w:p w14:paraId="114E8EC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12C282F7" w14:textId="77777777" w:rsidTr="00024D65">
        <w:trPr>
          <w:trHeight w:val="126"/>
        </w:trPr>
        <w:tc>
          <w:tcPr>
            <w:tcW w:w="709" w:type="dxa"/>
          </w:tcPr>
          <w:p w14:paraId="02852A5D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9B6E41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08580F1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35477E3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00E08E38" w14:textId="77777777" w:rsidTr="00024D65">
        <w:trPr>
          <w:trHeight w:val="126"/>
        </w:trPr>
        <w:tc>
          <w:tcPr>
            <w:tcW w:w="709" w:type="dxa"/>
          </w:tcPr>
          <w:p w14:paraId="4B26F5ED" w14:textId="77777777" w:rsidR="005B6D66" w:rsidRPr="006C50DB" w:rsidRDefault="005B6D66" w:rsidP="005B6D66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0B567C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A5B1F9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54D8166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4C8D2EC7" w14:textId="77777777" w:rsidTr="00024D65">
        <w:trPr>
          <w:trHeight w:val="126"/>
        </w:trPr>
        <w:tc>
          <w:tcPr>
            <w:tcW w:w="709" w:type="dxa"/>
          </w:tcPr>
          <w:p w14:paraId="41BCA62D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355" w:type="dxa"/>
          </w:tcPr>
          <w:p w14:paraId="7D3FF02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Перманганат калію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18ECEB6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540E883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8C7A4D3" w14:textId="77777777" w:rsidTr="00024D65">
        <w:trPr>
          <w:trHeight w:val="126"/>
        </w:trPr>
        <w:tc>
          <w:tcPr>
            <w:tcW w:w="709" w:type="dxa"/>
          </w:tcPr>
          <w:p w14:paraId="5F485EFC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670C97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5FED542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</w:tcPr>
          <w:p w14:paraId="2EC28DD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B314E4" w14:paraId="2E01F3AB" w14:textId="77777777" w:rsidTr="00024D65">
        <w:trPr>
          <w:trHeight w:val="126"/>
        </w:trPr>
        <w:tc>
          <w:tcPr>
            <w:tcW w:w="709" w:type="dxa"/>
          </w:tcPr>
          <w:p w14:paraId="1E0B364E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F2F075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3A3A10A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609E251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204CD547" w14:textId="77777777" w:rsidTr="00024D65">
        <w:trPr>
          <w:trHeight w:val="126"/>
        </w:trPr>
        <w:tc>
          <w:tcPr>
            <w:tcW w:w="709" w:type="dxa"/>
          </w:tcPr>
          <w:p w14:paraId="1BEDBAD2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A24B9A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DF2C0F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 інертній до реактиву герметичній упаковці, що </w:t>
            </w: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забезпечує його схоронність</w:t>
            </w:r>
          </w:p>
        </w:tc>
        <w:tc>
          <w:tcPr>
            <w:tcW w:w="2599" w:type="dxa"/>
          </w:tcPr>
          <w:p w14:paraId="24E27FC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схоронності та </w:t>
            </w: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уникнення можливого забруднення реактиву</w:t>
            </w:r>
          </w:p>
        </w:tc>
      </w:tr>
      <w:tr w:rsidR="005B6D66" w:rsidRPr="00B314E4" w14:paraId="4877DD8D" w14:textId="77777777" w:rsidTr="00024D65">
        <w:trPr>
          <w:trHeight w:val="126"/>
        </w:trPr>
        <w:tc>
          <w:tcPr>
            <w:tcW w:w="709" w:type="dxa"/>
          </w:tcPr>
          <w:p w14:paraId="3E9ED26B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3355" w:type="dxa"/>
            <w:vAlign w:val="center"/>
          </w:tcPr>
          <w:p w14:paraId="6DFB339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Натрій гідроокис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58F787E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2B2513D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538D8898" w14:textId="77777777" w:rsidTr="00024D65">
        <w:trPr>
          <w:trHeight w:val="126"/>
        </w:trPr>
        <w:tc>
          <w:tcPr>
            <w:tcW w:w="709" w:type="dxa"/>
          </w:tcPr>
          <w:p w14:paraId="397B4303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8C6AD4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08F302F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білого кристалічного порошку</w:t>
            </w:r>
          </w:p>
        </w:tc>
        <w:tc>
          <w:tcPr>
            <w:tcW w:w="2599" w:type="dxa"/>
            <w:vMerge w:val="restart"/>
          </w:tcPr>
          <w:p w14:paraId="6DC5AD1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0903B935" w14:textId="77777777" w:rsidTr="00024D65">
        <w:trPr>
          <w:trHeight w:val="126"/>
        </w:trPr>
        <w:tc>
          <w:tcPr>
            <w:tcW w:w="709" w:type="dxa"/>
          </w:tcPr>
          <w:p w14:paraId="77BE0F33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15A0B8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0678A7B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</w:tcPr>
          <w:p w14:paraId="5DC5D18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6BDC91DF" w14:textId="77777777" w:rsidTr="00024D65">
        <w:trPr>
          <w:trHeight w:val="126"/>
        </w:trPr>
        <w:tc>
          <w:tcPr>
            <w:tcW w:w="709" w:type="dxa"/>
          </w:tcPr>
          <w:p w14:paraId="6EE4CA38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A2EA76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4AD7F0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592E9A2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4BC20392" w14:textId="77777777" w:rsidTr="00024D65">
        <w:trPr>
          <w:trHeight w:val="126"/>
        </w:trPr>
        <w:tc>
          <w:tcPr>
            <w:tcW w:w="709" w:type="dxa"/>
          </w:tcPr>
          <w:p w14:paraId="07D511B3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414B2E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79202E9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62A76B0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0122FEF9" w14:textId="77777777" w:rsidTr="00024D65">
        <w:trPr>
          <w:trHeight w:val="126"/>
        </w:trPr>
        <w:tc>
          <w:tcPr>
            <w:tcW w:w="709" w:type="dxa"/>
          </w:tcPr>
          <w:p w14:paraId="6D0FE6EE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61B321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2C5CAEE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7AAE05D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FE9A6B1" w14:textId="77777777" w:rsidTr="00024D65">
        <w:trPr>
          <w:trHeight w:val="126"/>
        </w:trPr>
        <w:tc>
          <w:tcPr>
            <w:tcW w:w="709" w:type="dxa"/>
          </w:tcPr>
          <w:p w14:paraId="369C3F4B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355" w:type="dxa"/>
            <w:vAlign w:val="center"/>
          </w:tcPr>
          <w:p w14:paraId="2334F9D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Трилон</w:t>
            </w:r>
            <w:proofErr w:type="spellEnd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Б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2625B8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525DB4B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65DEFE31" w14:textId="77777777" w:rsidTr="00024D65">
        <w:trPr>
          <w:trHeight w:val="126"/>
        </w:trPr>
        <w:tc>
          <w:tcPr>
            <w:tcW w:w="709" w:type="dxa"/>
          </w:tcPr>
          <w:p w14:paraId="71ACBD93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AF1923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7081F08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білого порошку</w:t>
            </w:r>
          </w:p>
        </w:tc>
        <w:tc>
          <w:tcPr>
            <w:tcW w:w="2599" w:type="dxa"/>
            <w:vMerge w:val="restart"/>
          </w:tcPr>
          <w:p w14:paraId="43F695D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0FABD8FD" w14:textId="77777777" w:rsidTr="00024D65">
        <w:trPr>
          <w:trHeight w:val="126"/>
        </w:trPr>
        <w:tc>
          <w:tcPr>
            <w:tcW w:w="709" w:type="dxa"/>
          </w:tcPr>
          <w:p w14:paraId="36CA9AA2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59B03D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76EFBB9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65FC007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3B6C64AD" w14:textId="77777777" w:rsidTr="00024D65">
        <w:trPr>
          <w:trHeight w:val="126"/>
        </w:trPr>
        <w:tc>
          <w:tcPr>
            <w:tcW w:w="709" w:type="dxa"/>
          </w:tcPr>
          <w:p w14:paraId="4EB01503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422E9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5A5C5D2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246E6D8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4018FA3" w14:textId="77777777" w:rsidTr="00024D65">
        <w:trPr>
          <w:trHeight w:val="126"/>
        </w:trPr>
        <w:tc>
          <w:tcPr>
            <w:tcW w:w="709" w:type="dxa"/>
          </w:tcPr>
          <w:p w14:paraId="485F2720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56CCE2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A2D1AE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6F6E42B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0EB3E4DE" w14:textId="77777777" w:rsidTr="00024D65">
        <w:trPr>
          <w:trHeight w:val="126"/>
        </w:trPr>
        <w:tc>
          <w:tcPr>
            <w:tcW w:w="709" w:type="dxa"/>
          </w:tcPr>
          <w:p w14:paraId="7AF04C7C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355" w:type="dxa"/>
          </w:tcPr>
          <w:p w14:paraId="6FB31D0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Калій натрій виннокислий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56D18E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0561A99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52B4CD56" w14:textId="77777777" w:rsidTr="00024D65">
        <w:trPr>
          <w:trHeight w:val="126"/>
        </w:trPr>
        <w:tc>
          <w:tcPr>
            <w:tcW w:w="709" w:type="dxa"/>
          </w:tcPr>
          <w:p w14:paraId="265FD86A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5FE241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41BB481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 w:val="restart"/>
          </w:tcPr>
          <w:p w14:paraId="48C8997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рекомендацій за видом судової експертизи матеріалів, речовин і виробів</w:t>
            </w:r>
          </w:p>
        </w:tc>
      </w:tr>
      <w:tr w:rsidR="005B6D66" w:rsidRPr="00863528" w14:paraId="308D6829" w14:textId="77777777" w:rsidTr="00024D65">
        <w:trPr>
          <w:trHeight w:val="126"/>
        </w:trPr>
        <w:tc>
          <w:tcPr>
            <w:tcW w:w="709" w:type="dxa"/>
          </w:tcPr>
          <w:p w14:paraId="7D364B48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6F310B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55D4937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98 %</w:t>
            </w:r>
          </w:p>
        </w:tc>
        <w:tc>
          <w:tcPr>
            <w:tcW w:w="2599" w:type="dxa"/>
            <w:vMerge/>
          </w:tcPr>
          <w:p w14:paraId="572B3B4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0064EC66" w14:textId="77777777" w:rsidTr="00024D65">
        <w:trPr>
          <w:trHeight w:val="126"/>
        </w:trPr>
        <w:tc>
          <w:tcPr>
            <w:tcW w:w="709" w:type="dxa"/>
          </w:tcPr>
          <w:p w14:paraId="3BE1B92C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D89A36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044D844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2CD8489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46D7E5D1" w14:textId="77777777" w:rsidTr="00024D65">
        <w:trPr>
          <w:trHeight w:val="126"/>
        </w:trPr>
        <w:tc>
          <w:tcPr>
            <w:tcW w:w="709" w:type="dxa"/>
          </w:tcPr>
          <w:p w14:paraId="3ACDB2FD" w14:textId="77777777" w:rsidR="005B6D66" w:rsidRPr="00CF751F" w:rsidRDefault="005B6D66" w:rsidP="005B6D66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05854A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57B44A2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3A8CCE6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0E4F32C" w14:textId="77777777" w:rsidTr="00024D65">
        <w:trPr>
          <w:trHeight w:val="126"/>
        </w:trPr>
        <w:tc>
          <w:tcPr>
            <w:tcW w:w="709" w:type="dxa"/>
          </w:tcPr>
          <w:p w14:paraId="639861EF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355" w:type="dxa"/>
          </w:tcPr>
          <w:p w14:paraId="67F1F3F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Йод кристалічний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4828A13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59BDC96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24421D2F" w14:textId="77777777" w:rsidTr="00024D65">
        <w:trPr>
          <w:trHeight w:val="126"/>
        </w:trPr>
        <w:tc>
          <w:tcPr>
            <w:tcW w:w="709" w:type="dxa"/>
          </w:tcPr>
          <w:p w14:paraId="4A51CF00" w14:textId="77777777" w:rsidR="005B6D66" w:rsidRPr="00765F8F" w:rsidRDefault="005B6D66" w:rsidP="005B6D66">
            <w:pPr>
              <w:pStyle w:val="a7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F7F220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0B49E12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кристалів з металевим блиском сіро-фіолетового кольору</w:t>
            </w:r>
          </w:p>
        </w:tc>
        <w:tc>
          <w:tcPr>
            <w:tcW w:w="2599" w:type="dxa"/>
            <w:vMerge w:val="restart"/>
          </w:tcPr>
          <w:p w14:paraId="2C506BB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7E38486C" w14:textId="77777777" w:rsidTr="00024D65">
        <w:trPr>
          <w:trHeight w:val="126"/>
        </w:trPr>
        <w:tc>
          <w:tcPr>
            <w:tcW w:w="709" w:type="dxa"/>
          </w:tcPr>
          <w:p w14:paraId="176660A7" w14:textId="77777777" w:rsidR="005B6D66" w:rsidRPr="00765F8F" w:rsidRDefault="005B6D66" w:rsidP="005B6D66">
            <w:pPr>
              <w:pStyle w:val="a7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D96B29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294D64F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1926BD4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6746DFFD" w14:textId="77777777" w:rsidTr="00024D65">
        <w:trPr>
          <w:trHeight w:val="126"/>
        </w:trPr>
        <w:tc>
          <w:tcPr>
            <w:tcW w:w="709" w:type="dxa"/>
          </w:tcPr>
          <w:p w14:paraId="503F4C32" w14:textId="77777777" w:rsidR="005B6D66" w:rsidRPr="00765F8F" w:rsidRDefault="005B6D66" w:rsidP="005B6D66">
            <w:pPr>
              <w:pStyle w:val="a7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75B08D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6A6EB81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3498DC4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54599CD9" w14:textId="77777777" w:rsidTr="00024D65">
        <w:trPr>
          <w:trHeight w:val="126"/>
        </w:trPr>
        <w:tc>
          <w:tcPr>
            <w:tcW w:w="709" w:type="dxa"/>
          </w:tcPr>
          <w:p w14:paraId="250BCB19" w14:textId="77777777" w:rsidR="005B6D66" w:rsidRPr="00765F8F" w:rsidRDefault="005B6D66" w:rsidP="005B6D66">
            <w:pPr>
              <w:pStyle w:val="a7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07B3DE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2303574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5238491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3CF273BE" w14:textId="77777777" w:rsidTr="00024D65">
        <w:trPr>
          <w:trHeight w:val="126"/>
        </w:trPr>
        <w:tc>
          <w:tcPr>
            <w:tcW w:w="709" w:type="dxa"/>
          </w:tcPr>
          <w:p w14:paraId="0CE31D55" w14:textId="77777777" w:rsidR="005B6D66" w:rsidRPr="008A61A9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61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355" w:type="dxa"/>
          </w:tcPr>
          <w:p w14:paraId="7FE8F9F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8A61A9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Крохмаль, водорозчинний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27C9E8B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07F0D39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60A80D58" w14:textId="77777777" w:rsidTr="00024D65">
        <w:trPr>
          <w:trHeight w:val="126"/>
        </w:trPr>
        <w:tc>
          <w:tcPr>
            <w:tcW w:w="709" w:type="dxa"/>
          </w:tcPr>
          <w:p w14:paraId="3C4F0DBA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FCE59E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6A5C021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порошку білого або кремового кольору</w:t>
            </w:r>
          </w:p>
        </w:tc>
        <w:tc>
          <w:tcPr>
            <w:tcW w:w="2599" w:type="dxa"/>
            <w:vMerge w:val="restart"/>
          </w:tcPr>
          <w:p w14:paraId="66C9A41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1E468850" w14:textId="77777777" w:rsidTr="00024D65">
        <w:trPr>
          <w:trHeight w:val="126"/>
        </w:trPr>
        <w:tc>
          <w:tcPr>
            <w:tcW w:w="709" w:type="dxa"/>
          </w:tcPr>
          <w:p w14:paraId="2A14DBC3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D3F85C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08FD11F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</w:tcPr>
          <w:p w14:paraId="6FA8155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476864FB" w14:textId="77777777" w:rsidTr="00024D65">
        <w:trPr>
          <w:trHeight w:val="126"/>
        </w:trPr>
        <w:tc>
          <w:tcPr>
            <w:tcW w:w="709" w:type="dxa"/>
          </w:tcPr>
          <w:p w14:paraId="12E82E6C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049920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51747B4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7CAB019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493C3B08" w14:textId="77777777" w:rsidTr="00024D65">
        <w:trPr>
          <w:trHeight w:val="126"/>
        </w:trPr>
        <w:tc>
          <w:tcPr>
            <w:tcW w:w="709" w:type="dxa"/>
          </w:tcPr>
          <w:p w14:paraId="0AF6BF56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7170B0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0A0EDBA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 інертній до реактиву </w:t>
            </w: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770D031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схоронності та уникнення можливого забруднення реактиву</w:t>
            </w:r>
          </w:p>
        </w:tc>
      </w:tr>
      <w:tr w:rsidR="005B6D66" w:rsidRPr="00B314E4" w14:paraId="119D43D0" w14:textId="77777777" w:rsidTr="00024D65">
        <w:trPr>
          <w:trHeight w:val="126"/>
        </w:trPr>
        <w:tc>
          <w:tcPr>
            <w:tcW w:w="709" w:type="dxa"/>
          </w:tcPr>
          <w:p w14:paraId="26B18C3B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355" w:type="dxa"/>
          </w:tcPr>
          <w:p w14:paraId="045D839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Натрій тіосульфат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128EB8C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0853CAF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6C99E187" w14:textId="77777777" w:rsidTr="00024D65">
        <w:trPr>
          <w:trHeight w:val="126"/>
        </w:trPr>
        <w:tc>
          <w:tcPr>
            <w:tcW w:w="709" w:type="dxa"/>
          </w:tcPr>
          <w:p w14:paraId="593F483F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BC36FE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43A7E02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 w:val="restart"/>
          </w:tcPr>
          <w:p w14:paraId="1A4F3B1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6AEF0F49" w14:textId="77777777" w:rsidTr="00024D65">
        <w:trPr>
          <w:trHeight w:val="126"/>
        </w:trPr>
        <w:tc>
          <w:tcPr>
            <w:tcW w:w="709" w:type="dxa"/>
          </w:tcPr>
          <w:p w14:paraId="666DD687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ECBD4D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0CB0B66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7252BB7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6CFED421" w14:textId="77777777" w:rsidTr="00024D65">
        <w:trPr>
          <w:trHeight w:val="126"/>
        </w:trPr>
        <w:tc>
          <w:tcPr>
            <w:tcW w:w="709" w:type="dxa"/>
          </w:tcPr>
          <w:p w14:paraId="702A46F2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0F0B39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4D27780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7E35B21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0660E1BF" w14:textId="77777777" w:rsidTr="00024D65">
        <w:trPr>
          <w:trHeight w:val="126"/>
        </w:trPr>
        <w:tc>
          <w:tcPr>
            <w:tcW w:w="709" w:type="dxa"/>
          </w:tcPr>
          <w:p w14:paraId="071CEEDA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C03D43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9F15CE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7B87089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6C4F08C" w14:textId="77777777" w:rsidTr="00024D65">
        <w:trPr>
          <w:trHeight w:val="126"/>
        </w:trPr>
        <w:tc>
          <w:tcPr>
            <w:tcW w:w="709" w:type="dxa"/>
          </w:tcPr>
          <w:p w14:paraId="4DC1170E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3355" w:type="dxa"/>
          </w:tcPr>
          <w:p w14:paraId="039E568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Галуни </w:t>
            </w:r>
            <w:proofErr w:type="spellStart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залізоамонійні</w:t>
            </w:r>
            <w:proofErr w:type="spellEnd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чда</w:t>
            </w:r>
            <w:proofErr w:type="spellEnd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C6ADFE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5B1C466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279F93B" w14:textId="77777777" w:rsidTr="00024D65">
        <w:trPr>
          <w:trHeight w:val="126"/>
        </w:trPr>
        <w:tc>
          <w:tcPr>
            <w:tcW w:w="709" w:type="dxa"/>
          </w:tcPr>
          <w:p w14:paraId="2C4D079F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22A33A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480C862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 w:val="restart"/>
          </w:tcPr>
          <w:p w14:paraId="2383630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A61A9" w14:paraId="54620B0D" w14:textId="77777777" w:rsidTr="00024D65">
        <w:trPr>
          <w:trHeight w:val="126"/>
        </w:trPr>
        <w:tc>
          <w:tcPr>
            <w:tcW w:w="709" w:type="dxa"/>
          </w:tcPr>
          <w:p w14:paraId="1C5AF413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85233C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34983C1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98 %</w:t>
            </w:r>
          </w:p>
        </w:tc>
        <w:tc>
          <w:tcPr>
            <w:tcW w:w="2599" w:type="dxa"/>
            <w:vMerge/>
          </w:tcPr>
          <w:p w14:paraId="4F463B6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3F69AD98" w14:textId="77777777" w:rsidTr="00024D65">
        <w:trPr>
          <w:trHeight w:val="126"/>
        </w:trPr>
        <w:tc>
          <w:tcPr>
            <w:tcW w:w="709" w:type="dxa"/>
          </w:tcPr>
          <w:p w14:paraId="504EDEBE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CC403E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06D594F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4ABFE96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F8673D8" w14:textId="77777777" w:rsidTr="00024D65">
        <w:trPr>
          <w:trHeight w:val="126"/>
        </w:trPr>
        <w:tc>
          <w:tcPr>
            <w:tcW w:w="709" w:type="dxa"/>
          </w:tcPr>
          <w:p w14:paraId="54357B41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2C6610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2F8613E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45B6592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71EE3E02" w14:textId="77777777" w:rsidTr="00024D65">
        <w:trPr>
          <w:trHeight w:val="126"/>
        </w:trPr>
        <w:tc>
          <w:tcPr>
            <w:tcW w:w="709" w:type="dxa"/>
          </w:tcPr>
          <w:p w14:paraId="64172764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355" w:type="dxa"/>
          </w:tcPr>
          <w:p w14:paraId="674F265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Реактив </w:t>
            </w:r>
            <w:proofErr w:type="spellStart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Несслера</w:t>
            </w:r>
            <w:proofErr w:type="spellEnd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(далі -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27E602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253B606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63F36B65" w14:textId="77777777" w:rsidTr="00024D65">
        <w:trPr>
          <w:trHeight w:val="126"/>
        </w:trPr>
        <w:tc>
          <w:tcPr>
            <w:tcW w:w="709" w:type="dxa"/>
          </w:tcPr>
          <w:p w14:paraId="5BCDD6D3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2B73F7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B0B41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 вигляді жовтої прозорої рідини, без домішок</w:t>
            </w:r>
          </w:p>
        </w:tc>
        <w:tc>
          <w:tcPr>
            <w:tcW w:w="2599" w:type="dxa"/>
            <w:vMerge w:val="restart"/>
          </w:tcPr>
          <w:p w14:paraId="09ECFEB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2B3A4DAF" w14:textId="77777777" w:rsidTr="00024D65">
        <w:trPr>
          <w:trHeight w:val="126"/>
        </w:trPr>
        <w:tc>
          <w:tcPr>
            <w:tcW w:w="709" w:type="dxa"/>
          </w:tcPr>
          <w:p w14:paraId="0C6BEA25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30248D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29B1FB5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500 г</w:t>
            </w:r>
          </w:p>
        </w:tc>
        <w:tc>
          <w:tcPr>
            <w:tcW w:w="2599" w:type="dxa"/>
            <w:vMerge/>
          </w:tcPr>
          <w:p w14:paraId="2C03DCC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66606C9" w14:textId="77777777" w:rsidTr="00024D65">
        <w:trPr>
          <w:trHeight w:val="126"/>
        </w:trPr>
        <w:tc>
          <w:tcPr>
            <w:tcW w:w="709" w:type="dxa"/>
          </w:tcPr>
          <w:p w14:paraId="76C308AA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33056A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6078DF9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18259F8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6BDA64A9" w14:textId="77777777" w:rsidTr="00024D65">
        <w:trPr>
          <w:trHeight w:val="126"/>
        </w:trPr>
        <w:tc>
          <w:tcPr>
            <w:tcW w:w="709" w:type="dxa"/>
          </w:tcPr>
          <w:p w14:paraId="431F39D1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FF9D6E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EB521F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15E4213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33605295" w14:textId="77777777" w:rsidTr="00024D65">
        <w:trPr>
          <w:trHeight w:val="126"/>
        </w:trPr>
        <w:tc>
          <w:tcPr>
            <w:tcW w:w="709" w:type="dxa"/>
          </w:tcPr>
          <w:p w14:paraId="34549E02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3355" w:type="dxa"/>
          </w:tcPr>
          <w:p w14:paraId="2D3E7AE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Калій </w:t>
            </w:r>
            <w:proofErr w:type="spellStart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йодноватокислий</w:t>
            </w:r>
            <w:proofErr w:type="spellEnd"/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(далі -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50FD06D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15FD598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1A798F48" w14:textId="77777777" w:rsidTr="00024D65">
        <w:trPr>
          <w:trHeight w:val="126"/>
        </w:trPr>
        <w:tc>
          <w:tcPr>
            <w:tcW w:w="709" w:type="dxa"/>
          </w:tcPr>
          <w:p w14:paraId="114CDCFF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CC6E55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05586DF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білого кристалічного порошку</w:t>
            </w:r>
          </w:p>
        </w:tc>
        <w:tc>
          <w:tcPr>
            <w:tcW w:w="2599" w:type="dxa"/>
            <w:vMerge w:val="restart"/>
          </w:tcPr>
          <w:p w14:paraId="2C7F0A7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  <w:p w14:paraId="20C0AB5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67A03D58" w14:textId="77777777" w:rsidTr="00024D65">
        <w:trPr>
          <w:trHeight w:val="126"/>
        </w:trPr>
        <w:tc>
          <w:tcPr>
            <w:tcW w:w="709" w:type="dxa"/>
          </w:tcPr>
          <w:p w14:paraId="447A87DC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BBAE06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B40D02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</w:t>
            </w:r>
          </w:p>
        </w:tc>
        <w:tc>
          <w:tcPr>
            <w:tcW w:w="2599" w:type="dxa"/>
            <w:vMerge/>
          </w:tcPr>
          <w:p w14:paraId="407F1D9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1F6CDEE6" w14:textId="77777777" w:rsidTr="00024D65">
        <w:trPr>
          <w:trHeight w:val="126"/>
        </w:trPr>
        <w:tc>
          <w:tcPr>
            <w:tcW w:w="709" w:type="dxa"/>
          </w:tcPr>
          <w:p w14:paraId="095E37FB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E9657F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68B8CED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14E48FC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30D4A8DD" w14:textId="77777777" w:rsidTr="00024D65">
        <w:trPr>
          <w:trHeight w:val="126"/>
        </w:trPr>
        <w:tc>
          <w:tcPr>
            <w:tcW w:w="709" w:type="dxa"/>
          </w:tcPr>
          <w:p w14:paraId="2EAFDEF8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C09998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075383D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29F4D67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52475BF" w14:textId="77777777" w:rsidTr="00024D65">
        <w:trPr>
          <w:trHeight w:val="126"/>
        </w:trPr>
        <w:tc>
          <w:tcPr>
            <w:tcW w:w="709" w:type="dxa"/>
          </w:tcPr>
          <w:p w14:paraId="695EF602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B108EC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45416EC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7A42F10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60C30F5E" w14:textId="77777777" w:rsidTr="00024D65">
        <w:trPr>
          <w:trHeight w:val="126"/>
        </w:trPr>
        <w:tc>
          <w:tcPr>
            <w:tcW w:w="709" w:type="dxa"/>
          </w:tcPr>
          <w:p w14:paraId="12C61E32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355" w:type="dxa"/>
          </w:tcPr>
          <w:p w14:paraId="558116B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Натрій хлорид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545241C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72B339F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FD63CFF" w14:textId="77777777" w:rsidTr="00024D65">
        <w:trPr>
          <w:trHeight w:val="126"/>
        </w:trPr>
        <w:tc>
          <w:tcPr>
            <w:tcW w:w="709" w:type="dxa"/>
          </w:tcPr>
          <w:p w14:paraId="36317F29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3E824F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1BDE956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 w:val="restart"/>
          </w:tcPr>
          <w:p w14:paraId="45169EC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757534F6" w14:textId="77777777" w:rsidTr="00024D65">
        <w:trPr>
          <w:trHeight w:val="126"/>
        </w:trPr>
        <w:tc>
          <w:tcPr>
            <w:tcW w:w="709" w:type="dxa"/>
          </w:tcPr>
          <w:p w14:paraId="28EEAA0D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6FE7D0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4C0F5A3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0406018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3ADE3080" w14:textId="77777777" w:rsidTr="00024D65">
        <w:trPr>
          <w:trHeight w:val="126"/>
        </w:trPr>
        <w:tc>
          <w:tcPr>
            <w:tcW w:w="709" w:type="dxa"/>
          </w:tcPr>
          <w:p w14:paraId="2C7DC5EB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01E88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5E5F300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04C2A91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 метою забезпечення придатними реактивами для проведення </w:t>
            </w: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лабораторного аналізу</w:t>
            </w:r>
          </w:p>
        </w:tc>
      </w:tr>
      <w:tr w:rsidR="005B6D66" w:rsidRPr="00B314E4" w14:paraId="4B63C27C" w14:textId="77777777" w:rsidTr="00024D65">
        <w:trPr>
          <w:trHeight w:val="126"/>
        </w:trPr>
        <w:tc>
          <w:tcPr>
            <w:tcW w:w="709" w:type="dxa"/>
          </w:tcPr>
          <w:p w14:paraId="78F7611C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5555B5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769F0A1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4E526E7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1F07A998" w14:textId="77777777" w:rsidTr="00024D65">
        <w:trPr>
          <w:trHeight w:val="126"/>
        </w:trPr>
        <w:tc>
          <w:tcPr>
            <w:tcW w:w="709" w:type="dxa"/>
          </w:tcPr>
          <w:p w14:paraId="4D28FC4B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3355" w:type="dxa"/>
            <w:vAlign w:val="center"/>
          </w:tcPr>
          <w:p w14:paraId="38639CA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Йод стандарт-титр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07D1FC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3B39448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23BFB2A6" w14:textId="77777777" w:rsidTr="00024D65">
        <w:trPr>
          <w:trHeight w:val="126"/>
        </w:trPr>
        <w:tc>
          <w:tcPr>
            <w:tcW w:w="709" w:type="dxa"/>
          </w:tcPr>
          <w:p w14:paraId="0401F3EE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9F79E6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0B85481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стандарт-титрів</w:t>
            </w:r>
          </w:p>
        </w:tc>
        <w:tc>
          <w:tcPr>
            <w:tcW w:w="2599" w:type="dxa"/>
            <w:vMerge w:val="restart"/>
          </w:tcPr>
          <w:p w14:paraId="132C40D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15D7A6B2" w14:textId="77777777" w:rsidTr="00024D65">
        <w:trPr>
          <w:trHeight w:val="126"/>
        </w:trPr>
        <w:tc>
          <w:tcPr>
            <w:tcW w:w="709" w:type="dxa"/>
          </w:tcPr>
          <w:p w14:paraId="0C355589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51F2A5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Концентрація йоду в приготованому розчині реактиву </w:t>
            </w:r>
          </w:p>
        </w:tc>
        <w:tc>
          <w:tcPr>
            <w:tcW w:w="2976" w:type="dxa"/>
          </w:tcPr>
          <w:p w14:paraId="47A7D63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0,1 моль/дм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(0,1Н)</w:t>
            </w:r>
          </w:p>
        </w:tc>
        <w:tc>
          <w:tcPr>
            <w:tcW w:w="2599" w:type="dxa"/>
            <w:vMerge/>
          </w:tcPr>
          <w:p w14:paraId="0CD300F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23B9F259" w14:textId="77777777" w:rsidTr="00024D65">
        <w:trPr>
          <w:trHeight w:val="126"/>
        </w:trPr>
        <w:tc>
          <w:tcPr>
            <w:tcW w:w="709" w:type="dxa"/>
          </w:tcPr>
          <w:p w14:paraId="0D22B44A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76B222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3409C62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скляних ампулах, кількість яких в упаковці 10 шт.</w:t>
            </w:r>
          </w:p>
        </w:tc>
        <w:tc>
          <w:tcPr>
            <w:tcW w:w="2599" w:type="dxa"/>
            <w:vMerge/>
          </w:tcPr>
          <w:p w14:paraId="760472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4D0712C2" w14:textId="77777777" w:rsidTr="00024D65">
        <w:trPr>
          <w:trHeight w:val="126"/>
        </w:trPr>
        <w:tc>
          <w:tcPr>
            <w:tcW w:w="709" w:type="dxa"/>
          </w:tcPr>
          <w:p w14:paraId="2F930ABD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70FB64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70D15FF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2B5A94B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034E380B" w14:textId="77777777" w:rsidTr="00024D65">
        <w:trPr>
          <w:trHeight w:val="126"/>
        </w:trPr>
        <w:tc>
          <w:tcPr>
            <w:tcW w:w="709" w:type="dxa"/>
          </w:tcPr>
          <w:p w14:paraId="236768C1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12A8A8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6810614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упаковани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в оригінальн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схоронність скляних ампул</w:t>
            </w:r>
          </w:p>
        </w:tc>
        <w:tc>
          <w:tcPr>
            <w:tcW w:w="2599" w:type="dxa"/>
          </w:tcPr>
          <w:p w14:paraId="57701E7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136E0681" w14:textId="77777777" w:rsidTr="00024D65">
        <w:trPr>
          <w:trHeight w:val="126"/>
        </w:trPr>
        <w:tc>
          <w:tcPr>
            <w:tcW w:w="709" w:type="dxa"/>
          </w:tcPr>
          <w:p w14:paraId="6AC8ABED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3355" w:type="dxa"/>
            <w:vAlign w:val="center"/>
          </w:tcPr>
          <w:p w14:paraId="2F788A3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Натрію гідроокис стандарт-титр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3E5AB50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38E0642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7092FCA" w14:textId="77777777" w:rsidTr="00024D65">
        <w:trPr>
          <w:trHeight w:val="126"/>
        </w:trPr>
        <w:tc>
          <w:tcPr>
            <w:tcW w:w="709" w:type="dxa"/>
          </w:tcPr>
          <w:p w14:paraId="7EFC4565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EFF3F4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112B964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стандарт-титрів</w:t>
            </w:r>
          </w:p>
        </w:tc>
        <w:tc>
          <w:tcPr>
            <w:tcW w:w="2599" w:type="dxa"/>
            <w:vMerge w:val="restart"/>
          </w:tcPr>
          <w:p w14:paraId="50311B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5828BDB6" w14:textId="77777777" w:rsidTr="00024D65">
        <w:trPr>
          <w:trHeight w:val="126"/>
        </w:trPr>
        <w:tc>
          <w:tcPr>
            <w:tcW w:w="709" w:type="dxa"/>
          </w:tcPr>
          <w:p w14:paraId="067AFFF3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7B9BD2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Концентрація натрію гідроксиду в приготованому розчині реактиву </w:t>
            </w:r>
          </w:p>
        </w:tc>
        <w:tc>
          <w:tcPr>
            <w:tcW w:w="2976" w:type="dxa"/>
          </w:tcPr>
          <w:p w14:paraId="6B9A83F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0,1 моль/дм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(0,1Н)</w:t>
            </w:r>
          </w:p>
        </w:tc>
        <w:tc>
          <w:tcPr>
            <w:tcW w:w="2599" w:type="dxa"/>
            <w:vMerge/>
          </w:tcPr>
          <w:p w14:paraId="21C686A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4D94026A" w14:textId="77777777" w:rsidTr="00024D65">
        <w:trPr>
          <w:trHeight w:val="126"/>
        </w:trPr>
        <w:tc>
          <w:tcPr>
            <w:tcW w:w="709" w:type="dxa"/>
          </w:tcPr>
          <w:p w14:paraId="2E02D16D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D29021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6940F3E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скляних ампулах, кількість яких в упаковці 10 шт.</w:t>
            </w:r>
          </w:p>
        </w:tc>
        <w:tc>
          <w:tcPr>
            <w:tcW w:w="2599" w:type="dxa"/>
            <w:vMerge/>
          </w:tcPr>
          <w:p w14:paraId="7BD8F74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08182E08" w14:textId="77777777" w:rsidTr="00024D65">
        <w:trPr>
          <w:trHeight w:val="126"/>
        </w:trPr>
        <w:tc>
          <w:tcPr>
            <w:tcW w:w="709" w:type="dxa"/>
          </w:tcPr>
          <w:p w14:paraId="422D7440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4D189A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559998D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00884DA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7460AFF1" w14:textId="77777777" w:rsidTr="00024D65">
        <w:trPr>
          <w:trHeight w:val="126"/>
        </w:trPr>
        <w:tc>
          <w:tcPr>
            <w:tcW w:w="709" w:type="dxa"/>
          </w:tcPr>
          <w:p w14:paraId="22AA9006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463EE1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08B2AC0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упаковани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в оригінальн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ці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, що забезпечує схоронність скляних ампул</w:t>
            </w:r>
          </w:p>
        </w:tc>
        <w:tc>
          <w:tcPr>
            <w:tcW w:w="2599" w:type="dxa"/>
          </w:tcPr>
          <w:p w14:paraId="497DA646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3E4E14D9" w14:textId="77777777" w:rsidTr="00024D65">
        <w:trPr>
          <w:trHeight w:val="126"/>
        </w:trPr>
        <w:tc>
          <w:tcPr>
            <w:tcW w:w="709" w:type="dxa"/>
          </w:tcPr>
          <w:p w14:paraId="3C4AB746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3355" w:type="dxa"/>
          </w:tcPr>
          <w:p w14:paraId="1965C2B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Калій гідроокис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FEA8DA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14488CC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4266C6C7" w14:textId="77777777" w:rsidTr="00024D65">
        <w:trPr>
          <w:trHeight w:val="126"/>
        </w:trPr>
        <w:tc>
          <w:tcPr>
            <w:tcW w:w="709" w:type="dxa"/>
          </w:tcPr>
          <w:p w14:paraId="54829F26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220583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1DE5D11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85 %</w:t>
            </w:r>
          </w:p>
        </w:tc>
        <w:tc>
          <w:tcPr>
            <w:tcW w:w="2599" w:type="dxa"/>
          </w:tcPr>
          <w:p w14:paraId="14920F6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</w:t>
            </w: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B314E4" w14:paraId="14142C1A" w14:textId="77777777" w:rsidTr="00024D65">
        <w:trPr>
          <w:trHeight w:val="126"/>
        </w:trPr>
        <w:tc>
          <w:tcPr>
            <w:tcW w:w="709" w:type="dxa"/>
          </w:tcPr>
          <w:p w14:paraId="7BE495A2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B4D63C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32F9DA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3637C1D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61D33499" w14:textId="77777777" w:rsidTr="00024D65">
        <w:trPr>
          <w:trHeight w:val="126"/>
        </w:trPr>
        <w:tc>
          <w:tcPr>
            <w:tcW w:w="709" w:type="dxa"/>
          </w:tcPr>
          <w:p w14:paraId="64EC9080" w14:textId="77777777" w:rsidR="005B6D66" w:rsidRPr="008A61A9" w:rsidRDefault="005B6D66" w:rsidP="005B6D66">
            <w:pPr>
              <w:pStyle w:val="a7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2705B0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0B614EA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2F12083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2A17DFA5" w14:textId="77777777" w:rsidTr="00024D65">
        <w:trPr>
          <w:trHeight w:val="126"/>
        </w:trPr>
        <w:tc>
          <w:tcPr>
            <w:tcW w:w="709" w:type="dxa"/>
          </w:tcPr>
          <w:p w14:paraId="7E95B801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3355" w:type="dxa"/>
          </w:tcPr>
          <w:p w14:paraId="50C10A2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776A5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Кислота сірчана (далі – реактив)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18B05E7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4124568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62431C04" w14:textId="77777777" w:rsidTr="00024D65">
        <w:trPr>
          <w:trHeight w:val="126"/>
        </w:trPr>
        <w:tc>
          <w:tcPr>
            <w:tcW w:w="709" w:type="dxa"/>
          </w:tcPr>
          <w:p w14:paraId="70EB80AD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5B44E7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</w:t>
            </w:r>
          </w:p>
        </w:tc>
        <w:tc>
          <w:tcPr>
            <w:tcW w:w="2976" w:type="dxa"/>
          </w:tcPr>
          <w:p w14:paraId="4133923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вигляді безбарвної рідини з різким запахом</w:t>
            </w:r>
          </w:p>
        </w:tc>
        <w:tc>
          <w:tcPr>
            <w:tcW w:w="2599" w:type="dxa"/>
            <w:vMerge w:val="restart"/>
          </w:tcPr>
          <w:p w14:paraId="727DE18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7D7E1D" w14:paraId="4AAD9887" w14:textId="77777777" w:rsidTr="00024D65">
        <w:trPr>
          <w:trHeight w:val="126"/>
        </w:trPr>
        <w:tc>
          <w:tcPr>
            <w:tcW w:w="709" w:type="dxa"/>
          </w:tcPr>
          <w:p w14:paraId="4396A30A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4F98B7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7467AC4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</w:tcPr>
          <w:p w14:paraId="48499A3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63528" w14:paraId="342B5611" w14:textId="77777777" w:rsidTr="00024D65">
        <w:trPr>
          <w:trHeight w:val="126"/>
        </w:trPr>
        <w:tc>
          <w:tcPr>
            <w:tcW w:w="709" w:type="dxa"/>
          </w:tcPr>
          <w:p w14:paraId="00C15281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386E21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389BCA1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93 %</w:t>
            </w:r>
          </w:p>
        </w:tc>
        <w:tc>
          <w:tcPr>
            <w:tcW w:w="2599" w:type="dxa"/>
            <w:vMerge/>
          </w:tcPr>
          <w:p w14:paraId="4BA5D6B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0DE65000" w14:textId="77777777" w:rsidTr="00024D65">
        <w:trPr>
          <w:trHeight w:val="126"/>
        </w:trPr>
        <w:tc>
          <w:tcPr>
            <w:tcW w:w="709" w:type="dxa"/>
          </w:tcPr>
          <w:p w14:paraId="7D91A25D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70EC1F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6C342E6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28E5AB3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66B2BDFB" w14:textId="77777777" w:rsidTr="00024D65">
        <w:trPr>
          <w:trHeight w:val="126"/>
        </w:trPr>
        <w:tc>
          <w:tcPr>
            <w:tcW w:w="709" w:type="dxa"/>
          </w:tcPr>
          <w:p w14:paraId="5797BC82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3279D04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51BFA1D5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упаковани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й</w:t>
            </w: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в скляні ємності з темного скла, що забезпечують його схоронність</w:t>
            </w:r>
          </w:p>
        </w:tc>
        <w:tc>
          <w:tcPr>
            <w:tcW w:w="2599" w:type="dxa"/>
          </w:tcPr>
          <w:p w14:paraId="3FB03A2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863528" w14:paraId="342DEF09" w14:textId="77777777" w:rsidTr="00024D65">
        <w:trPr>
          <w:trHeight w:val="126"/>
        </w:trPr>
        <w:tc>
          <w:tcPr>
            <w:tcW w:w="709" w:type="dxa"/>
          </w:tcPr>
          <w:p w14:paraId="722F36A6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3355" w:type="dxa"/>
            <w:vAlign w:val="center"/>
          </w:tcPr>
          <w:p w14:paraId="185070C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 для </w:t>
            </w:r>
            <w:proofErr w:type="spellStart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тюнінгу</w:t>
            </w:r>
            <w:proofErr w:type="spellEnd"/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E3F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мас-спектрометра з </w:t>
            </w:r>
            <w:proofErr w:type="spellStart"/>
            <w:r w:rsidRPr="001E3F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індуктивно</w:t>
            </w:r>
            <w:proofErr w:type="spellEnd"/>
            <w:r w:rsidRPr="001E3F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-зв’язаною плазмою</w:t>
            </w: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(далі –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61040A9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731628F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78D2968C" w14:textId="77777777" w:rsidTr="00024D65">
        <w:trPr>
          <w:trHeight w:val="126"/>
        </w:trPr>
        <w:tc>
          <w:tcPr>
            <w:tcW w:w="709" w:type="dxa"/>
          </w:tcPr>
          <w:p w14:paraId="6137F061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A0D975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Реактив призначений </w:t>
            </w:r>
          </w:p>
        </w:tc>
        <w:tc>
          <w:tcPr>
            <w:tcW w:w="2976" w:type="dxa"/>
          </w:tcPr>
          <w:p w14:paraId="3674109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для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тюнінгу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мас-спектрометра з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індуктивно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-зв’язаною плазмою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PlasmaQuant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MS Elite</w:t>
            </w:r>
            <w:r w:rsidRPr="00671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Analiti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Jena</w:t>
            </w:r>
            <w:proofErr w:type="spellEnd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AG</w:t>
            </w:r>
          </w:p>
        </w:tc>
        <w:tc>
          <w:tcPr>
            <w:tcW w:w="2599" w:type="dxa"/>
            <w:vMerge w:val="restart"/>
          </w:tcPr>
          <w:p w14:paraId="1DAC5F59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63528" w14:paraId="5F504E7A" w14:textId="77777777" w:rsidTr="00024D65">
        <w:trPr>
          <w:trHeight w:val="126"/>
        </w:trPr>
        <w:tc>
          <w:tcPr>
            <w:tcW w:w="709" w:type="dxa"/>
          </w:tcPr>
          <w:p w14:paraId="41E6620F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E4CB43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1FA96E0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250 мл</w:t>
            </w:r>
          </w:p>
        </w:tc>
        <w:tc>
          <w:tcPr>
            <w:tcW w:w="2599" w:type="dxa"/>
            <w:vMerge/>
          </w:tcPr>
          <w:p w14:paraId="41EDEAA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42A2BB8A" w14:textId="77777777" w:rsidTr="00024D65">
        <w:trPr>
          <w:trHeight w:val="126"/>
        </w:trPr>
        <w:tc>
          <w:tcPr>
            <w:tcW w:w="709" w:type="dxa"/>
          </w:tcPr>
          <w:p w14:paraId="26DF8C8B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91F6B6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7567AC53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lastRenderedPageBreak/>
              <w:t>дати поставки</w:t>
            </w:r>
          </w:p>
        </w:tc>
        <w:tc>
          <w:tcPr>
            <w:tcW w:w="2599" w:type="dxa"/>
          </w:tcPr>
          <w:p w14:paraId="254AD38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 метою забезпечення </w:t>
            </w: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придатними реактивами для проведення лабораторного аналізу</w:t>
            </w:r>
          </w:p>
        </w:tc>
      </w:tr>
      <w:tr w:rsidR="005B6D66" w:rsidRPr="00B314E4" w14:paraId="49E703E6" w14:textId="77777777" w:rsidTr="00024D65">
        <w:trPr>
          <w:trHeight w:val="126"/>
        </w:trPr>
        <w:tc>
          <w:tcPr>
            <w:tcW w:w="709" w:type="dxa"/>
          </w:tcPr>
          <w:p w14:paraId="78016583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8A03E4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66816AE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0DEFF71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5B6D66" w:rsidRPr="00B314E4" w14:paraId="15EED67D" w14:textId="77777777" w:rsidTr="00024D65">
        <w:trPr>
          <w:trHeight w:val="126"/>
        </w:trPr>
        <w:tc>
          <w:tcPr>
            <w:tcW w:w="709" w:type="dxa"/>
          </w:tcPr>
          <w:p w14:paraId="3E8D6087" w14:textId="77777777" w:rsidR="005B6D66" w:rsidRPr="00776A58" w:rsidRDefault="005B6D66" w:rsidP="00024D65">
            <w:pPr>
              <w:widowControl w:val="0"/>
              <w:spacing w:after="0" w:line="240" w:lineRule="auto"/>
              <w:ind w:left="-8" w:hanging="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A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3355" w:type="dxa"/>
            <w:vAlign w:val="center"/>
          </w:tcPr>
          <w:p w14:paraId="50BCE9F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Фтористоводнева кислота (далі - реактив)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150E76">
              <w:rPr>
                <w:rFonts w:ascii="Times New Roman" w:hAnsi="Times New Roman"/>
                <w:b/>
                <w:lang w:val="ru-RU"/>
              </w:rPr>
              <w:t>(код за ДК 021:2015-24315000-5)</w:t>
            </w:r>
          </w:p>
        </w:tc>
        <w:tc>
          <w:tcPr>
            <w:tcW w:w="2976" w:type="dxa"/>
          </w:tcPr>
          <w:p w14:paraId="7A67A6A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99" w:type="dxa"/>
          </w:tcPr>
          <w:p w14:paraId="757148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</w:tc>
      </w:tr>
      <w:tr w:rsidR="005B6D66" w:rsidRPr="00B314E4" w14:paraId="0E1D825A" w14:textId="77777777" w:rsidTr="00024D65">
        <w:trPr>
          <w:trHeight w:val="126"/>
        </w:trPr>
        <w:tc>
          <w:tcPr>
            <w:tcW w:w="709" w:type="dxa"/>
          </w:tcPr>
          <w:p w14:paraId="06A73548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7B3C3A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Колір реактиву </w:t>
            </w:r>
          </w:p>
        </w:tc>
        <w:tc>
          <w:tcPr>
            <w:tcW w:w="2976" w:type="dxa"/>
          </w:tcPr>
          <w:p w14:paraId="2665B5DC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більше ніж 10 одиниць </w:t>
            </w:r>
            <w:proofErr w:type="spellStart"/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hazen</w:t>
            </w:r>
            <w:proofErr w:type="spellEnd"/>
          </w:p>
        </w:tc>
        <w:tc>
          <w:tcPr>
            <w:tcW w:w="2599" w:type="dxa"/>
            <w:vMerge w:val="restart"/>
          </w:tcPr>
          <w:p w14:paraId="26FE8ABF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776A5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5B6D66" w:rsidRPr="008D24C0" w14:paraId="03907CC4" w14:textId="77777777" w:rsidTr="00024D65">
        <w:trPr>
          <w:trHeight w:val="126"/>
        </w:trPr>
        <w:tc>
          <w:tcPr>
            <w:tcW w:w="709" w:type="dxa"/>
          </w:tcPr>
          <w:p w14:paraId="1D1E7CAE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5A1EBB7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1FDC906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48 %</w:t>
            </w:r>
          </w:p>
        </w:tc>
        <w:tc>
          <w:tcPr>
            <w:tcW w:w="2599" w:type="dxa"/>
            <w:vMerge/>
          </w:tcPr>
          <w:p w14:paraId="6B9D108A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8D24C0" w14:paraId="183A4454" w14:textId="77777777" w:rsidTr="00024D65">
        <w:trPr>
          <w:trHeight w:val="126"/>
        </w:trPr>
        <w:tc>
          <w:tcPr>
            <w:tcW w:w="709" w:type="dxa"/>
          </w:tcPr>
          <w:p w14:paraId="590F1DC7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3F64C7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0ADF22C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ніж 1 л</w:t>
            </w:r>
          </w:p>
        </w:tc>
        <w:tc>
          <w:tcPr>
            <w:tcW w:w="2599" w:type="dxa"/>
            <w:vMerge/>
          </w:tcPr>
          <w:p w14:paraId="2D470291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B6D66" w:rsidRPr="00B314E4" w14:paraId="086409F0" w14:textId="77777777" w:rsidTr="00024D65">
        <w:trPr>
          <w:trHeight w:val="126"/>
        </w:trPr>
        <w:tc>
          <w:tcPr>
            <w:tcW w:w="709" w:type="dxa"/>
          </w:tcPr>
          <w:p w14:paraId="0E5C0137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AA76562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Термін придатності реактиву </w:t>
            </w:r>
          </w:p>
        </w:tc>
        <w:tc>
          <w:tcPr>
            <w:tcW w:w="2976" w:type="dxa"/>
          </w:tcPr>
          <w:p w14:paraId="02E9489B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не менше ніж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</w:tcPr>
          <w:p w14:paraId="4A931A48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аналізу</w:t>
            </w:r>
          </w:p>
        </w:tc>
      </w:tr>
      <w:tr w:rsidR="005B6D66" w:rsidRPr="00B314E4" w14:paraId="40C794C9" w14:textId="77777777" w:rsidTr="00024D65">
        <w:trPr>
          <w:trHeight w:val="126"/>
        </w:trPr>
        <w:tc>
          <w:tcPr>
            <w:tcW w:w="709" w:type="dxa"/>
          </w:tcPr>
          <w:p w14:paraId="00DDF523" w14:textId="77777777" w:rsidR="005B6D66" w:rsidRPr="008D24C0" w:rsidRDefault="005B6D66" w:rsidP="005B6D66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E11F4FD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E3FD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71F06D5E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154C5D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 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</w:tcPr>
          <w:p w14:paraId="2FA0A430" w14:textId="77777777" w:rsidR="005B6D66" w:rsidRPr="00776A58" w:rsidRDefault="005B6D66" w:rsidP="00024D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35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</w:tbl>
    <w:p w14:paraId="4EAF133F" w14:textId="77777777" w:rsidR="005B6D66" w:rsidRPr="00A92406" w:rsidRDefault="005B6D66" w:rsidP="0018558A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14:paraId="3009DB76" w14:textId="77777777" w:rsidR="0018558A" w:rsidRDefault="0018558A" w:rsidP="0018558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14:paraId="0535104B" w14:textId="77777777"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br w:type="column"/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  <w:proofErr w:type="spellEnd"/>
    </w:p>
    <w:p w14:paraId="5FBEB93A" w14:textId="77777777"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розміру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бюджетного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очікуваної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вартості</w:t>
      </w:r>
      <w:proofErr w:type="spellEnd"/>
    </w:p>
    <w:p w14:paraId="32D4D7D0" w14:textId="4B4A0DAE" w:rsidR="0018558A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предмета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  <w:r w:rsid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72FBB136" w14:textId="18442BCE" w:rsidR="005B6D66" w:rsidRPr="00312A6D" w:rsidRDefault="005B6D66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Код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ДК 021:2015 24310000-0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Основні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неорганічні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хімічні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речовини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(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Неорганічні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реактиви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для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фізико-хімічних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досліджень</w:t>
      </w:r>
      <w:proofErr w:type="spellEnd"/>
      <w:r w:rsidRPr="005B6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)</w:t>
      </w:r>
    </w:p>
    <w:p w14:paraId="762332EF" w14:textId="05A2E955" w:rsidR="0018558A" w:rsidRPr="00312A6D" w:rsidRDefault="005B6D66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</w:t>
      </w:r>
      <w:r w:rsidR="0018558A"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3F65F3D5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54819B4" w14:textId="65D4D212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 w:rsidR="005B6D66" w:rsidRPr="005B6D66">
        <w:rPr>
          <w:rFonts w:ascii="Times New Roman" w:eastAsia="Times New Roman" w:hAnsi="Times New Roman"/>
          <w:b/>
          <w:sz w:val="28"/>
          <w:szCs w:val="28"/>
          <w:lang w:val="uk-UA"/>
        </w:rPr>
        <w:t>UA-2023-07-07-010695-a</w:t>
      </w:r>
      <w:r w:rsidR="005B6D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p w14:paraId="7A0EFABC" w14:textId="77777777" w:rsidR="0018558A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2" w:name="_GoBack"/>
      <w:bookmarkEnd w:id="2"/>
    </w:p>
    <w:p w14:paraId="2BB5F12A" w14:textId="2DB9C56C" w:rsidR="0018558A" w:rsidRPr="005B6D66" w:rsidRDefault="005B6D66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B6D66">
        <w:rPr>
          <w:rFonts w:ascii="Arial" w:hAnsi="Arial" w:cs="Arial"/>
          <w:b/>
          <w:color w:val="333333"/>
          <w:sz w:val="28"/>
          <w:szCs w:val="28"/>
          <w:shd w:val="clear" w:color="auto" w:fill="F4F7FA"/>
        </w:rPr>
        <w:t>248 781,05</w:t>
      </w:r>
      <w:r w:rsidRPr="005B6D66">
        <w:rPr>
          <w:rFonts w:ascii="Arial" w:hAnsi="Arial" w:cs="Arial"/>
          <w:b/>
          <w:color w:val="333333"/>
          <w:sz w:val="28"/>
          <w:szCs w:val="28"/>
          <w:shd w:val="clear" w:color="auto" w:fill="F4F7FA"/>
          <w:lang w:val="en-US"/>
        </w:rPr>
        <w:t xml:space="preserve"> </w:t>
      </w:r>
      <w:r w:rsidR="0018558A" w:rsidRPr="005B6D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грн</w:t>
      </w:r>
    </w:p>
    <w:p w14:paraId="7DF19D43" w14:textId="77777777"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2B1EB5" w14:textId="77777777"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18558A" w:rsidRPr="00312A6D" w14:paraId="50ECF405" w14:textId="77777777" w:rsidTr="0068360E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4645D9E6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0C525B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44E387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3BD98A2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23961D40" w14:textId="77777777" w:rsidR="0018558A" w:rsidRPr="00312A6D" w:rsidRDefault="0018558A" w:rsidP="0068360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18558A" w:rsidRPr="00312A6D" w14:paraId="3AB214BF" w14:textId="77777777" w:rsidTr="0068360E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2D5A4081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6962C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FFB5A0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7E797A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18558A" w:rsidRPr="00312A6D" w14:paraId="01B749EE" w14:textId="77777777" w:rsidTr="0068360E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5CD2C1DF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6463BA" w14:textId="227BA505" w:rsidR="0018558A" w:rsidRPr="00312A6D" w:rsidRDefault="005B6D66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5B6D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248 781,05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558A"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525296A2" w14:textId="08C26514" w:rsidR="0018558A" w:rsidRPr="00312A6D" w:rsidRDefault="005B6D66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5B6D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248 781,05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558A"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4569AA4E" w14:textId="77777777" w:rsidR="0018558A" w:rsidRPr="00312A6D" w:rsidRDefault="0018558A" w:rsidP="0068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14:paraId="6F9BEFE6" w14:textId="77777777" w:rsidR="0018558A" w:rsidRPr="00312A6D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14:paraId="4C4F2C7D" w14:textId="77777777" w:rsidR="0018558A" w:rsidRPr="00312A6D" w:rsidRDefault="0018558A" w:rsidP="0018558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14:paraId="146A9167" w14:textId="77777777" w:rsidR="00B158FD" w:rsidRDefault="00B158FD"/>
    <w:sectPr w:rsidR="00B158FD" w:rsidSect="00AA704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CD6"/>
    <w:multiLevelType w:val="hybridMultilevel"/>
    <w:tmpl w:val="870EB2C0"/>
    <w:lvl w:ilvl="0" w:tplc="124A01F6">
      <w:start w:val="1"/>
      <w:numFmt w:val="decimal"/>
      <w:lvlText w:val="36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4C52077"/>
    <w:multiLevelType w:val="hybridMultilevel"/>
    <w:tmpl w:val="42203842"/>
    <w:lvl w:ilvl="0" w:tplc="4268201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706"/>
    <w:multiLevelType w:val="hybridMultilevel"/>
    <w:tmpl w:val="963ADAF4"/>
    <w:lvl w:ilvl="0" w:tplc="1D08030E">
      <w:start w:val="1"/>
      <w:numFmt w:val="decimal"/>
      <w:lvlText w:val="5.%1"/>
      <w:lvlJc w:val="left"/>
      <w:pPr>
        <w:ind w:left="170" w:hanging="17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714"/>
    <w:multiLevelType w:val="hybridMultilevel"/>
    <w:tmpl w:val="61903F34"/>
    <w:lvl w:ilvl="0" w:tplc="ABB26698">
      <w:start w:val="1"/>
      <w:numFmt w:val="decimal"/>
      <w:lvlText w:val="39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0AE06DA9"/>
    <w:multiLevelType w:val="hybridMultilevel"/>
    <w:tmpl w:val="0374DF3E"/>
    <w:lvl w:ilvl="0" w:tplc="803023E8">
      <w:start w:val="1"/>
      <w:numFmt w:val="decimal"/>
      <w:lvlText w:val="28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13B4AE6"/>
    <w:multiLevelType w:val="hybridMultilevel"/>
    <w:tmpl w:val="3FFAC7D6"/>
    <w:lvl w:ilvl="0" w:tplc="F4ECBF8E">
      <w:start w:val="1"/>
      <w:numFmt w:val="decimal"/>
      <w:lvlText w:val="22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2B842E4"/>
    <w:multiLevelType w:val="hybridMultilevel"/>
    <w:tmpl w:val="BEFA009C"/>
    <w:lvl w:ilvl="0" w:tplc="879CE17A">
      <w:start w:val="1"/>
      <w:numFmt w:val="decimal"/>
      <w:lvlText w:val="23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1B9441FA"/>
    <w:multiLevelType w:val="hybridMultilevel"/>
    <w:tmpl w:val="C0BA2992"/>
    <w:lvl w:ilvl="0" w:tplc="B7C215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279"/>
    <w:multiLevelType w:val="hybridMultilevel"/>
    <w:tmpl w:val="DCA68768"/>
    <w:lvl w:ilvl="0" w:tplc="479CAE50">
      <w:start w:val="1"/>
      <w:numFmt w:val="decimal"/>
      <w:lvlText w:val="15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2BD2"/>
    <w:multiLevelType w:val="hybridMultilevel"/>
    <w:tmpl w:val="975AC0C2"/>
    <w:lvl w:ilvl="0" w:tplc="F476EA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265B9"/>
    <w:multiLevelType w:val="hybridMultilevel"/>
    <w:tmpl w:val="CF5E07A6"/>
    <w:lvl w:ilvl="0" w:tplc="EA46FF1E">
      <w:start w:val="1"/>
      <w:numFmt w:val="decimal"/>
      <w:lvlText w:val="30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9B250D1"/>
    <w:multiLevelType w:val="hybridMultilevel"/>
    <w:tmpl w:val="550034B4"/>
    <w:lvl w:ilvl="0" w:tplc="E37CCB8C">
      <w:start w:val="1"/>
      <w:numFmt w:val="decimal"/>
      <w:lvlText w:val="17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2A9304C6"/>
    <w:multiLevelType w:val="hybridMultilevel"/>
    <w:tmpl w:val="92F0778E"/>
    <w:lvl w:ilvl="0" w:tplc="B7EEB88E">
      <w:start w:val="1"/>
      <w:numFmt w:val="decimal"/>
      <w:lvlText w:val="21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BE53431"/>
    <w:multiLevelType w:val="hybridMultilevel"/>
    <w:tmpl w:val="D71CDF22"/>
    <w:lvl w:ilvl="0" w:tplc="0D9A0C7E">
      <w:start w:val="1"/>
      <w:numFmt w:val="decimal"/>
      <w:lvlText w:val="20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301712B"/>
    <w:multiLevelType w:val="hybridMultilevel"/>
    <w:tmpl w:val="A9C6B2E2"/>
    <w:lvl w:ilvl="0" w:tplc="7A9A02E0">
      <w:start w:val="1"/>
      <w:numFmt w:val="decimal"/>
      <w:lvlText w:val="34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8485539"/>
    <w:multiLevelType w:val="hybridMultilevel"/>
    <w:tmpl w:val="CEE26B6A"/>
    <w:lvl w:ilvl="0" w:tplc="825216A4">
      <w:start w:val="1"/>
      <w:numFmt w:val="decimal"/>
      <w:lvlText w:val="27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389571FD"/>
    <w:multiLevelType w:val="hybridMultilevel"/>
    <w:tmpl w:val="F3A0014C"/>
    <w:lvl w:ilvl="0" w:tplc="DB4C72BC">
      <w:start w:val="1"/>
      <w:numFmt w:val="decimal"/>
      <w:lvlText w:val="37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3F32138F"/>
    <w:multiLevelType w:val="hybridMultilevel"/>
    <w:tmpl w:val="11C2A0A8"/>
    <w:lvl w:ilvl="0" w:tplc="1D4AFB16">
      <w:start w:val="1"/>
      <w:numFmt w:val="decimal"/>
      <w:lvlText w:val="31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FEA2ECB"/>
    <w:multiLevelType w:val="hybridMultilevel"/>
    <w:tmpl w:val="D5C203FE"/>
    <w:lvl w:ilvl="0" w:tplc="120C93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0A41"/>
    <w:multiLevelType w:val="hybridMultilevel"/>
    <w:tmpl w:val="4734227E"/>
    <w:lvl w:ilvl="0" w:tplc="203C274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718A"/>
    <w:multiLevelType w:val="hybridMultilevel"/>
    <w:tmpl w:val="021A093A"/>
    <w:lvl w:ilvl="0" w:tplc="7112373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A78E5"/>
    <w:multiLevelType w:val="hybridMultilevel"/>
    <w:tmpl w:val="821E5976"/>
    <w:lvl w:ilvl="0" w:tplc="9384C72A">
      <w:start w:val="1"/>
      <w:numFmt w:val="decimal"/>
      <w:lvlText w:val="18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501752A7"/>
    <w:multiLevelType w:val="hybridMultilevel"/>
    <w:tmpl w:val="E45AECEC"/>
    <w:lvl w:ilvl="0" w:tplc="BE5EC304">
      <w:start w:val="1"/>
      <w:numFmt w:val="decimal"/>
      <w:lvlText w:val="33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52456FC9"/>
    <w:multiLevelType w:val="hybridMultilevel"/>
    <w:tmpl w:val="D69CC932"/>
    <w:lvl w:ilvl="0" w:tplc="6CCADE2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F4FB1"/>
    <w:multiLevelType w:val="hybridMultilevel"/>
    <w:tmpl w:val="0EDC6414"/>
    <w:lvl w:ilvl="0" w:tplc="2F124AA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2FD6"/>
    <w:multiLevelType w:val="hybridMultilevel"/>
    <w:tmpl w:val="A03A3C6C"/>
    <w:lvl w:ilvl="0" w:tplc="9E78CD4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48A"/>
    <w:multiLevelType w:val="hybridMultilevel"/>
    <w:tmpl w:val="F45AB5F4"/>
    <w:lvl w:ilvl="0" w:tplc="964EB36E">
      <w:start w:val="1"/>
      <w:numFmt w:val="decimal"/>
      <w:lvlText w:val="24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 w15:restartNumberingAfterBreak="0">
    <w:nsid w:val="59683CF5"/>
    <w:multiLevelType w:val="hybridMultilevel"/>
    <w:tmpl w:val="C1EE5D02"/>
    <w:lvl w:ilvl="0" w:tplc="4B545D82">
      <w:start w:val="1"/>
      <w:numFmt w:val="decimal"/>
      <w:lvlText w:val="26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 w15:restartNumberingAfterBreak="0">
    <w:nsid w:val="59776394"/>
    <w:multiLevelType w:val="hybridMultilevel"/>
    <w:tmpl w:val="F7AAC622"/>
    <w:lvl w:ilvl="0" w:tplc="3B8267BC">
      <w:start w:val="1"/>
      <w:numFmt w:val="decimal"/>
      <w:lvlText w:val="25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5C6E3E7F"/>
    <w:multiLevelType w:val="hybridMultilevel"/>
    <w:tmpl w:val="349C96E4"/>
    <w:lvl w:ilvl="0" w:tplc="99C46020">
      <w:start w:val="1"/>
      <w:numFmt w:val="decimal"/>
      <w:lvlText w:val="16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 w15:restartNumberingAfterBreak="0">
    <w:nsid w:val="605C776E"/>
    <w:multiLevelType w:val="hybridMultilevel"/>
    <w:tmpl w:val="1FD46216"/>
    <w:lvl w:ilvl="0" w:tplc="29D65E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57F0B"/>
    <w:multiLevelType w:val="hybridMultilevel"/>
    <w:tmpl w:val="8834CE82"/>
    <w:lvl w:ilvl="0" w:tplc="110413A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A00C3"/>
    <w:multiLevelType w:val="hybridMultilevel"/>
    <w:tmpl w:val="F49CBF7C"/>
    <w:lvl w:ilvl="0" w:tplc="47DAC7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96B44"/>
    <w:multiLevelType w:val="hybridMultilevel"/>
    <w:tmpl w:val="6F14BE82"/>
    <w:lvl w:ilvl="0" w:tplc="5B30C484">
      <w:start w:val="1"/>
      <w:numFmt w:val="decimal"/>
      <w:lvlText w:val="29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 w15:restartNumberingAfterBreak="0">
    <w:nsid w:val="65997099"/>
    <w:multiLevelType w:val="hybridMultilevel"/>
    <w:tmpl w:val="DF0674CE"/>
    <w:lvl w:ilvl="0" w:tplc="76A88E26">
      <w:start w:val="1"/>
      <w:numFmt w:val="decimal"/>
      <w:lvlText w:val="35.%1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 w15:restartNumberingAfterBreak="0">
    <w:nsid w:val="687A6E47"/>
    <w:multiLevelType w:val="hybridMultilevel"/>
    <w:tmpl w:val="007613D8"/>
    <w:lvl w:ilvl="0" w:tplc="2F88B8C6">
      <w:start w:val="1"/>
      <w:numFmt w:val="decimal"/>
      <w:lvlText w:val="40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 w15:restartNumberingAfterBreak="0">
    <w:nsid w:val="74ED0139"/>
    <w:multiLevelType w:val="hybridMultilevel"/>
    <w:tmpl w:val="250222DC"/>
    <w:lvl w:ilvl="0" w:tplc="3C329E10">
      <w:start w:val="1"/>
      <w:numFmt w:val="decimal"/>
      <w:lvlText w:val="19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 w15:restartNumberingAfterBreak="0">
    <w:nsid w:val="7592432D"/>
    <w:multiLevelType w:val="hybridMultilevel"/>
    <w:tmpl w:val="A3822C12"/>
    <w:lvl w:ilvl="0" w:tplc="6078751E">
      <w:start w:val="1"/>
      <w:numFmt w:val="decimal"/>
      <w:lvlText w:val="38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8" w15:restartNumberingAfterBreak="0">
    <w:nsid w:val="7CF75D5F"/>
    <w:multiLevelType w:val="hybridMultilevel"/>
    <w:tmpl w:val="C6F88A96"/>
    <w:lvl w:ilvl="0" w:tplc="229AB55A">
      <w:start w:val="1"/>
      <w:numFmt w:val="decimal"/>
      <w:lvlText w:val="32.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9" w15:restartNumberingAfterBreak="0">
    <w:nsid w:val="7D224C31"/>
    <w:multiLevelType w:val="hybridMultilevel"/>
    <w:tmpl w:val="9A66E378"/>
    <w:lvl w:ilvl="0" w:tplc="EAE27C80">
      <w:start w:val="1"/>
      <w:numFmt w:val="decimal"/>
      <w:lvlText w:val="1.%1"/>
      <w:lvlJc w:val="left"/>
      <w:pPr>
        <w:ind w:left="142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2"/>
  </w:num>
  <w:num w:numId="4">
    <w:abstractNumId w:val="9"/>
  </w:num>
  <w:num w:numId="5">
    <w:abstractNumId w:val="2"/>
  </w:num>
  <w:num w:numId="6">
    <w:abstractNumId w:val="23"/>
  </w:num>
  <w:num w:numId="7">
    <w:abstractNumId w:val="31"/>
  </w:num>
  <w:num w:numId="8">
    <w:abstractNumId w:val="30"/>
  </w:num>
  <w:num w:numId="9">
    <w:abstractNumId w:val="7"/>
  </w:num>
  <w:num w:numId="10">
    <w:abstractNumId w:val="24"/>
  </w:num>
  <w:num w:numId="11">
    <w:abstractNumId w:val="25"/>
  </w:num>
  <w:num w:numId="12">
    <w:abstractNumId w:val="19"/>
  </w:num>
  <w:num w:numId="13">
    <w:abstractNumId w:val="20"/>
  </w:num>
  <w:num w:numId="14">
    <w:abstractNumId w:val="1"/>
  </w:num>
  <w:num w:numId="15">
    <w:abstractNumId w:val="8"/>
  </w:num>
  <w:num w:numId="16">
    <w:abstractNumId w:val="29"/>
  </w:num>
  <w:num w:numId="17">
    <w:abstractNumId w:val="11"/>
  </w:num>
  <w:num w:numId="18">
    <w:abstractNumId w:val="21"/>
  </w:num>
  <w:num w:numId="19">
    <w:abstractNumId w:val="36"/>
  </w:num>
  <w:num w:numId="20">
    <w:abstractNumId w:val="13"/>
  </w:num>
  <w:num w:numId="21">
    <w:abstractNumId w:val="12"/>
  </w:num>
  <w:num w:numId="22">
    <w:abstractNumId w:val="5"/>
  </w:num>
  <w:num w:numId="23">
    <w:abstractNumId w:val="6"/>
  </w:num>
  <w:num w:numId="24">
    <w:abstractNumId w:val="26"/>
  </w:num>
  <w:num w:numId="25">
    <w:abstractNumId w:val="28"/>
  </w:num>
  <w:num w:numId="26">
    <w:abstractNumId w:val="27"/>
  </w:num>
  <w:num w:numId="27">
    <w:abstractNumId w:val="15"/>
  </w:num>
  <w:num w:numId="28">
    <w:abstractNumId w:val="4"/>
  </w:num>
  <w:num w:numId="29">
    <w:abstractNumId w:val="33"/>
  </w:num>
  <w:num w:numId="30">
    <w:abstractNumId w:val="10"/>
  </w:num>
  <w:num w:numId="31">
    <w:abstractNumId w:val="17"/>
  </w:num>
  <w:num w:numId="32">
    <w:abstractNumId w:val="38"/>
  </w:num>
  <w:num w:numId="33">
    <w:abstractNumId w:val="22"/>
  </w:num>
  <w:num w:numId="34">
    <w:abstractNumId w:val="14"/>
  </w:num>
  <w:num w:numId="35">
    <w:abstractNumId w:val="34"/>
  </w:num>
  <w:num w:numId="36">
    <w:abstractNumId w:val="0"/>
  </w:num>
  <w:num w:numId="37">
    <w:abstractNumId w:val="16"/>
  </w:num>
  <w:num w:numId="38">
    <w:abstractNumId w:val="37"/>
  </w:num>
  <w:num w:numId="39">
    <w:abstractNumId w:val="3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A"/>
    <w:rsid w:val="0018558A"/>
    <w:rsid w:val="005B6D66"/>
    <w:rsid w:val="00610CC7"/>
    <w:rsid w:val="00B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D2E"/>
  <w15:chartTrackingRefBased/>
  <w15:docId w15:val="{72A32D8D-16F7-4EDC-92A2-E15CC971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8A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58A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58A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18558A"/>
    <w:pPr>
      <w:ind w:left="720"/>
      <w:contextualSpacing/>
    </w:pPr>
  </w:style>
  <w:style w:type="character" w:styleId="a8">
    <w:name w:val="Emphasis"/>
    <w:basedOn w:val="a0"/>
    <w:uiPriority w:val="20"/>
    <w:qFormat/>
    <w:rsid w:val="0018558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8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8558A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18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39"/>
    <w:rsid w:val="001855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18558A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18558A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18400</Words>
  <Characters>10489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Маслова Руслана Володимирівна</cp:lastModifiedBy>
  <cp:revision>2</cp:revision>
  <dcterms:created xsi:type="dcterms:W3CDTF">2023-07-07T12:47:00Z</dcterms:created>
  <dcterms:modified xsi:type="dcterms:W3CDTF">2023-07-07T12:47:00Z</dcterms:modified>
</cp:coreProperties>
</file>