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3001E" w14:textId="77777777" w:rsidR="006C4CDC" w:rsidRPr="006C4CDC" w:rsidRDefault="006C4CDC" w:rsidP="006C4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 w:rsidRPr="006C4CDC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Обґрунтування</w:t>
      </w:r>
    </w:p>
    <w:p w14:paraId="1A08525F" w14:textId="77777777" w:rsidR="006C4CDC" w:rsidRPr="003C324A" w:rsidRDefault="006C4CDC" w:rsidP="006C4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C324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технічних та якісних характеристик предмета закупівлі</w:t>
      </w:r>
    </w:p>
    <w:p w14:paraId="2512361F" w14:textId="77777777" w:rsidR="006C4CDC" w:rsidRPr="003C324A" w:rsidRDefault="006C4CDC" w:rsidP="006C4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C324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Код ДК 021:2015 38430000-8 Детектори та аналізатори (24-х капілярний генетичний аналізатор ДНК)</w:t>
      </w:r>
    </w:p>
    <w:p w14:paraId="38879990" w14:textId="444BA553" w:rsidR="006C4CDC" w:rsidRPr="006C4CDC" w:rsidRDefault="006C4CDC" w:rsidP="006C4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6C4CD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(назва предмета закупівлі)</w:t>
      </w:r>
    </w:p>
    <w:p w14:paraId="451AFE0E" w14:textId="77777777" w:rsidR="006C4CDC" w:rsidRPr="006C4CDC" w:rsidRDefault="006C4CDC" w:rsidP="006C4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79149A3" w14:textId="329E0823" w:rsidR="006C4CDC" w:rsidRPr="003C324A" w:rsidRDefault="006C4CDC" w:rsidP="006C4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C324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(номер/ ідентифікатор закупівлі UA-2024-10-29-014020-a)</w:t>
      </w:r>
    </w:p>
    <w:p w14:paraId="570A7593" w14:textId="77777777" w:rsidR="006C4CDC" w:rsidRPr="006C4CDC" w:rsidRDefault="006C4CDC" w:rsidP="00BC0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6003DF2C" w14:textId="5BC2B0EE" w:rsidR="00BC0853" w:rsidRPr="006C4CDC" w:rsidRDefault="00BC0853" w:rsidP="006C4CD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C4CDC">
        <w:rPr>
          <w:rFonts w:ascii="Times New Roman" w:eastAsia="Times New Roman" w:hAnsi="Times New Roman" w:cs="Times New Roman"/>
          <w:sz w:val="24"/>
          <w:szCs w:val="28"/>
        </w:rPr>
        <w:t>Технічні та якісні характеристики предмета закупівлі та їх обґрунтування щодо позиції / позицій предмета закупівлі:</w:t>
      </w:r>
    </w:p>
    <w:p w14:paraId="0F959499" w14:textId="77777777" w:rsidR="00BC0853" w:rsidRPr="006C4CDC" w:rsidRDefault="00BC0853" w:rsidP="00BC0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noProof/>
          <w:sz w:val="24"/>
          <w:szCs w:val="28"/>
          <w:lang w:eastAsia="ru-RU"/>
        </w:rPr>
      </w:pPr>
      <w:r w:rsidRPr="006C4CD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78725D7D" w14:textId="2E4F20F9" w:rsidR="00BC0853" w:rsidRPr="006C4CDC" w:rsidRDefault="006C4CDC" w:rsidP="00BC08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pacing w:val="-1"/>
          <w:sz w:val="24"/>
          <w:szCs w:val="28"/>
        </w:rPr>
      </w:pPr>
      <w:r w:rsidRPr="006C4CDC">
        <w:rPr>
          <w:rFonts w:ascii="Times New Roman" w:eastAsia="Times New Roman" w:hAnsi="Times New Roman" w:cs="Times New Roman"/>
          <w:b/>
          <w:noProof/>
          <w:sz w:val="24"/>
          <w:szCs w:val="28"/>
        </w:rPr>
        <w:t>24-х капілярний генетичний аналізатор ДНК</w:t>
      </w:r>
      <w:r>
        <w:rPr>
          <w:rFonts w:ascii="Times New Roman" w:eastAsia="Times New Roman" w:hAnsi="Times New Roman" w:cs="Times New Roman"/>
          <w:b/>
          <w:noProof/>
          <w:sz w:val="24"/>
          <w:szCs w:val="28"/>
        </w:rPr>
        <w:t xml:space="preserve"> </w:t>
      </w:r>
      <w:r w:rsidR="00BC0853" w:rsidRPr="006C4CDC">
        <w:rPr>
          <w:rFonts w:ascii="Times New Roman" w:eastAsia="Times New Roman" w:hAnsi="Times New Roman" w:cs="Times New Roman"/>
          <w:b/>
          <w:bCs/>
          <w:noProof/>
          <w:spacing w:val="-2"/>
          <w:sz w:val="24"/>
          <w:szCs w:val="28"/>
        </w:rPr>
        <w:t>– 1</w:t>
      </w:r>
      <w:r w:rsidR="00BC0853" w:rsidRPr="006C4CDC">
        <w:rPr>
          <w:rFonts w:ascii="Times New Roman" w:hAnsi="Times New Roman" w:cs="Times New Roman"/>
          <w:b/>
          <w:noProof/>
          <w:spacing w:val="9"/>
          <w:sz w:val="24"/>
          <w:szCs w:val="28"/>
        </w:rPr>
        <w:t xml:space="preserve"> </w:t>
      </w:r>
      <w:r w:rsidR="00BC0853" w:rsidRPr="006C4CDC">
        <w:rPr>
          <w:rFonts w:ascii="Times New Roman" w:hAnsi="Times New Roman" w:cs="Times New Roman"/>
          <w:b/>
          <w:noProof/>
          <w:spacing w:val="-1"/>
          <w:sz w:val="24"/>
          <w:szCs w:val="28"/>
        </w:rPr>
        <w:t>шт.</w:t>
      </w:r>
    </w:p>
    <w:tbl>
      <w:tblPr>
        <w:tblStyle w:val="TableNormal1"/>
        <w:tblpPr w:leftFromText="180" w:rightFromText="180" w:vertAnchor="text" w:tblpY="1"/>
        <w:tblOverlap w:val="never"/>
        <w:tblW w:w="10200" w:type="dxa"/>
        <w:tblLayout w:type="fixed"/>
        <w:tblLook w:val="01E0" w:firstRow="1" w:lastRow="1" w:firstColumn="1" w:lastColumn="1" w:noHBand="0" w:noVBand="0"/>
      </w:tblPr>
      <w:tblGrid>
        <w:gridCol w:w="561"/>
        <w:gridCol w:w="3544"/>
        <w:gridCol w:w="2835"/>
        <w:gridCol w:w="3260"/>
      </w:tblGrid>
      <w:tr w:rsidR="00BC0853" w:rsidRPr="006C4CDC" w14:paraId="04E61170" w14:textId="77777777" w:rsidTr="006C4CDC">
        <w:trPr>
          <w:trHeight w:hRule="exact" w:val="858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6796F2F" w14:textId="77777777" w:rsidR="00BC0853" w:rsidRPr="006C4CDC" w:rsidRDefault="00BC0853" w:rsidP="006C4CDC">
            <w:pPr>
              <w:spacing w:line="260" w:lineRule="exact"/>
              <w:ind w:right="1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6C4CDC">
              <w:rPr>
                <w:rFonts w:ascii="Times New Roman" w:hAnsi="Times New Roman" w:cs="Times New Roman"/>
                <w:b/>
                <w:noProof/>
                <w:lang w:val="uk-UA"/>
              </w:rPr>
              <w:t>№ з/п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E934A91" w14:textId="11E8813B" w:rsidR="00BC0853" w:rsidRPr="006C4CDC" w:rsidRDefault="00BC0853" w:rsidP="004D656A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noProof/>
                <w:lang w:val="uk-UA"/>
              </w:rPr>
            </w:pPr>
            <w:r w:rsidRPr="006C4CDC">
              <w:rPr>
                <w:rFonts w:ascii="Times New Roman" w:eastAsia="Times New Roman" w:hAnsi="Times New Roman" w:cs="Times New Roman"/>
                <w:b/>
                <w:noProof/>
                <w:lang w:val="uk-UA"/>
              </w:rPr>
              <w:t>Технічні (якісні)</w:t>
            </w:r>
            <w:r w:rsidR="006C4CDC">
              <w:rPr>
                <w:rFonts w:ascii="Times New Roman" w:eastAsia="Times New Roman" w:hAnsi="Times New Roman" w:cs="Times New Roman"/>
                <w:b/>
                <w:noProof/>
                <w:lang w:val="uk-UA"/>
              </w:rPr>
              <w:t xml:space="preserve"> </w:t>
            </w:r>
            <w:r w:rsidRPr="006C4CDC">
              <w:rPr>
                <w:rFonts w:ascii="Times New Roman" w:eastAsia="Times New Roman" w:hAnsi="Times New Roman" w:cs="Times New Roman"/>
                <w:b/>
                <w:noProof/>
                <w:lang w:val="uk-UA"/>
              </w:rPr>
              <w:t>характеристики</w:t>
            </w:r>
            <w:r w:rsidR="004D656A">
              <w:rPr>
                <w:rFonts w:ascii="Times New Roman" w:eastAsia="Times New Roman" w:hAnsi="Times New Roman" w:cs="Times New Roman"/>
                <w:b/>
                <w:noProof/>
                <w:lang w:val="uk-UA"/>
              </w:rPr>
              <w:t xml:space="preserve"> </w:t>
            </w:r>
            <w:bookmarkStart w:id="0" w:name="_GoBack"/>
            <w:bookmarkEnd w:id="0"/>
            <w:r w:rsidRPr="006C4CDC">
              <w:rPr>
                <w:rFonts w:ascii="Times New Roman" w:eastAsia="Times New Roman" w:hAnsi="Times New Roman" w:cs="Times New Roman"/>
                <w:b/>
                <w:noProof/>
                <w:lang w:val="uk-UA"/>
              </w:rPr>
              <w:t>предмета закупівлі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A0728B" w14:textId="77777777" w:rsidR="00BC0853" w:rsidRPr="006C4CDC" w:rsidRDefault="00BC0853" w:rsidP="006C4CDC">
            <w:pPr>
              <w:spacing w:before="2"/>
              <w:ind w:right="2"/>
              <w:jc w:val="center"/>
              <w:rPr>
                <w:rFonts w:ascii="Times New Roman" w:hAnsi="Times New Roman" w:cs="Times New Roman"/>
                <w:b/>
                <w:noProof/>
                <w:spacing w:val="9"/>
                <w:lang w:val="uk-UA"/>
              </w:rPr>
            </w:pPr>
            <w:r w:rsidRPr="006C4CDC">
              <w:rPr>
                <w:rFonts w:ascii="Times New Roman" w:hAnsi="Times New Roman" w:cs="Times New Roman"/>
                <w:b/>
                <w:noProof/>
                <w:spacing w:val="9"/>
                <w:lang w:val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392250" w14:textId="0F70853B" w:rsidR="00BC0853" w:rsidRPr="006C4CDC" w:rsidRDefault="00BC0853" w:rsidP="004D656A">
            <w:pPr>
              <w:spacing w:before="2"/>
              <w:ind w:right="2"/>
              <w:jc w:val="center"/>
              <w:rPr>
                <w:rFonts w:ascii="Times New Roman" w:hAnsi="Times New Roman" w:cs="Times New Roman"/>
                <w:b/>
                <w:noProof/>
                <w:spacing w:val="9"/>
                <w:lang w:val="uk-UA"/>
              </w:rPr>
            </w:pPr>
            <w:r w:rsidRPr="006C4CDC">
              <w:rPr>
                <w:rFonts w:ascii="Times New Roman" w:hAnsi="Times New Roman" w:cs="Times New Roman"/>
                <w:b/>
                <w:noProof/>
                <w:spacing w:val="9"/>
                <w:lang w:val="uk-UA"/>
              </w:rPr>
              <w:t>Обґрунтування технічних (якісних) характеристик</w:t>
            </w:r>
            <w:r w:rsidR="004D656A">
              <w:rPr>
                <w:rFonts w:ascii="Times New Roman" w:hAnsi="Times New Roman" w:cs="Times New Roman"/>
                <w:b/>
                <w:noProof/>
                <w:spacing w:val="9"/>
                <w:lang w:val="uk-UA"/>
              </w:rPr>
              <w:t xml:space="preserve"> </w:t>
            </w:r>
            <w:r w:rsidRPr="006C4CDC">
              <w:rPr>
                <w:rFonts w:ascii="Times New Roman" w:hAnsi="Times New Roman" w:cs="Times New Roman"/>
                <w:b/>
                <w:noProof/>
                <w:spacing w:val="9"/>
                <w:lang w:val="uk-UA"/>
              </w:rPr>
              <w:t>предмета закупівлі</w:t>
            </w:r>
          </w:p>
        </w:tc>
      </w:tr>
      <w:tr w:rsidR="00BC0853" w:rsidRPr="006C4CDC" w14:paraId="0E9D1A3C" w14:textId="77777777" w:rsidTr="006C4CDC">
        <w:trPr>
          <w:trHeight w:val="4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95E9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C32B" w14:textId="77777777" w:rsidR="00BC0853" w:rsidRPr="006C4CDC" w:rsidRDefault="00BC0853" w:rsidP="006C4CDC">
            <w:pPr>
              <w:spacing w:line="262" w:lineRule="exact"/>
              <w:ind w:right="1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Прилад призначений для проведення реакцій секвенування та фрагментного аналізу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12F2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Відповідність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D550" w14:textId="77777777" w:rsidR="00BC0853" w:rsidRPr="006C4CDC" w:rsidRDefault="00BC0853" w:rsidP="006C4CD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Забезпечення автоматизованого капілярного електрофоретичного розділення продуктів амліфікації для подальшого проведення криміналістичної ідентифікації особи</w:t>
            </w:r>
          </w:p>
        </w:tc>
      </w:tr>
      <w:tr w:rsidR="00BC0853" w:rsidRPr="006C4CDC" w14:paraId="01C8DAEA" w14:textId="77777777" w:rsidTr="006C4CDC">
        <w:trPr>
          <w:trHeight w:val="23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1DCE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2F8C" w14:textId="77777777" w:rsidR="00BC0853" w:rsidRPr="006C4CDC" w:rsidRDefault="00BC0853" w:rsidP="006C4CDC">
            <w:pPr>
              <w:spacing w:line="262" w:lineRule="exact"/>
              <w:ind w:right="1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 xml:space="preserve">Кількість капілярів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BAD1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не менше 24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FBD2B" w14:textId="77777777" w:rsidR="00BC0853" w:rsidRPr="006C4CDC" w:rsidRDefault="00BC0853" w:rsidP="006C4CD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Одночасне дослідження 24 зразків (проб)</w:t>
            </w:r>
          </w:p>
        </w:tc>
      </w:tr>
      <w:tr w:rsidR="00BC0853" w:rsidRPr="006C4CDC" w14:paraId="045ACBAA" w14:textId="77777777" w:rsidTr="006C4CDC">
        <w:trPr>
          <w:trHeight w:val="4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F0A4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8ECE" w14:textId="77777777" w:rsidR="00BC0853" w:rsidRPr="006C4CDC" w:rsidRDefault="00BC0853" w:rsidP="006C4CDC">
            <w:pPr>
              <w:spacing w:line="262" w:lineRule="exact"/>
              <w:ind w:right="1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Можливість використання різних типів блоків капілярів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73C3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Відповідність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2F480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</w:p>
        </w:tc>
      </w:tr>
      <w:tr w:rsidR="00BC0853" w:rsidRPr="006C4CDC" w14:paraId="73997BCE" w14:textId="77777777" w:rsidTr="006C4CDC">
        <w:trPr>
          <w:trHeight w:val="4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E14C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DE5B" w14:textId="77777777" w:rsidR="00BC0853" w:rsidRPr="006C4CDC" w:rsidRDefault="00BC0853" w:rsidP="006C4CDC">
            <w:pPr>
              <w:spacing w:line="262" w:lineRule="exact"/>
              <w:ind w:right="1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 xml:space="preserve">Електрокінетична інєкція ДНК в капілярний картридж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EFF3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не менше 24 зразків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DFB2B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</w:p>
        </w:tc>
      </w:tr>
      <w:tr w:rsidR="00BC0853" w:rsidRPr="006C4CDC" w14:paraId="61C5B090" w14:textId="77777777" w:rsidTr="006C4CDC">
        <w:trPr>
          <w:trHeight w:val="4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9036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1.5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438E" w14:textId="77777777" w:rsidR="00BC0853" w:rsidRPr="006C4CDC" w:rsidRDefault="00BC0853" w:rsidP="006C4CDC">
            <w:pPr>
              <w:spacing w:line="262" w:lineRule="exact"/>
              <w:ind w:right="1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 xml:space="preserve">Можливість використання 96-лункових планшетів для зразків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738E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Відповідність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5E7AD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</w:p>
        </w:tc>
      </w:tr>
      <w:tr w:rsidR="00BC0853" w:rsidRPr="006C4CDC" w14:paraId="240D9D21" w14:textId="77777777" w:rsidTr="006C4CDC">
        <w:trPr>
          <w:trHeight w:val="20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608C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1.6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CBB4" w14:textId="77777777" w:rsidR="00BC0853" w:rsidRPr="006C4CDC" w:rsidRDefault="00BC0853" w:rsidP="006C4CDC">
            <w:pPr>
              <w:spacing w:line="262" w:lineRule="exact"/>
              <w:ind w:right="1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 xml:space="preserve">Можливість одночасного аналізу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8126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не менш</w:t>
            </w:r>
            <w:r w:rsidRPr="006C4CDC">
              <w:rPr>
                <w:rFonts w:ascii="Times New Roman" w:hAnsi="Times New Roman" w:cs="Times New Roman"/>
                <w:noProof/>
                <w:spacing w:val="-1"/>
                <w:lang w:val="ru-RU"/>
              </w:rPr>
              <w:t>е</w:t>
            </w: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 xml:space="preserve"> 24 зразків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5098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</w:p>
        </w:tc>
      </w:tr>
      <w:tr w:rsidR="00BC0853" w:rsidRPr="006C4CDC" w14:paraId="39005EDB" w14:textId="77777777" w:rsidTr="006C4CDC">
        <w:trPr>
          <w:trHeight w:val="4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C086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1.7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9DBD" w14:textId="77777777" w:rsidR="00BC0853" w:rsidRPr="006C4CDC" w:rsidRDefault="00BC0853" w:rsidP="006C4CDC">
            <w:pPr>
              <w:spacing w:line="262" w:lineRule="exact"/>
              <w:ind w:right="1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Ємність за</w:t>
            </w:r>
            <w:r w:rsidRPr="006C4CDC">
              <w:rPr>
                <w:rFonts w:ascii="Times New Roman" w:hAnsi="Times New Roman" w:cs="Times New Roman"/>
                <w:noProof/>
                <w:spacing w:val="-1"/>
                <w:lang w:val="ru-RU"/>
              </w:rPr>
              <w:t>вантаження</w:t>
            </w: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12F4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не менше 96 зразків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1CCB" w14:textId="77777777" w:rsidR="00BC0853" w:rsidRPr="006C4CDC" w:rsidRDefault="00BC0853" w:rsidP="006C4CD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Одночасне завантаження 96 зразків (проб)</w:t>
            </w:r>
          </w:p>
        </w:tc>
      </w:tr>
      <w:tr w:rsidR="00BC0853" w:rsidRPr="006C4CDC" w14:paraId="0C45EE44" w14:textId="77777777" w:rsidTr="006C4CDC">
        <w:trPr>
          <w:trHeight w:val="4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B97E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1.8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10FB" w14:textId="77777777" w:rsidR="00BC0853" w:rsidRPr="006C4CDC" w:rsidRDefault="00BC0853" w:rsidP="006C4CDC">
            <w:pPr>
              <w:spacing w:line="262" w:lineRule="exact"/>
              <w:ind w:right="1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 xml:space="preserve">Повністю автоматизована заміна геля в капілярному масиві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50D7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Відповідність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11E8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</w:p>
        </w:tc>
      </w:tr>
      <w:tr w:rsidR="00BC0853" w:rsidRPr="006C4CDC" w14:paraId="5264B71E" w14:textId="77777777" w:rsidTr="006C4CDC">
        <w:trPr>
          <w:trHeight w:val="4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5947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1.9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E9F0" w14:textId="77777777" w:rsidR="00BC0853" w:rsidRPr="006C4CDC" w:rsidRDefault="00BC0853" w:rsidP="006C4CDC">
            <w:pPr>
              <w:spacing w:line="262" w:lineRule="exact"/>
              <w:ind w:right="1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 xml:space="preserve">Джерело світла напівпровідниковий лазер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BCF" w14:textId="36C926B6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довжин</w:t>
            </w:r>
            <w:r w:rsidRPr="006C4CDC">
              <w:rPr>
                <w:rFonts w:ascii="Times New Roman" w:hAnsi="Times New Roman" w:cs="Times New Roman"/>
                <w:noProof/>
                <w:spacing w:val="-1"/>
                <w:lang w:val="ru-RU"/>
              </w:rPr>
              <w:t>а</w:t>
            </w: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 xml:space="preserve"> хвилі</w:t>
            </w:r>
            <w:r w:rsid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 xml:space="preserve"> </w:t>
            </w:r>
            <w:r w:rsidRPr="006C4CDC">
              <w:rPr>
                <w:rFonts w:ascii="Times New Roman" w:hAnsi="Times New Roman" w:cs="Times New Roman"/>
                <w:noProof/>
                <w:spacing w:val="-1"/>
                <w:lang w:val="ru-RU"/>
              </w:rPr>
              <w:t xml:space="preserve">не менше </w:t>
            </w: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505</w:t>
            </w:r>
            <w:r w:rsid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 </w:t>
            </w: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нм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2B9B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</w:p>
        </w:tc>
      </w:tr>
      <w:tr w:rsidR="00BC0853" w:rsidRPr="006C4CDC" w14:paraId="5BB26501" w14:textId="77777777" w:rsidTr="006C4CDC">
        <w:trPr>
          <w:trHeight w:val="4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E39E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1.10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2FEB" w14:textId="77777777" w:rsidR="00BC0853" w:rsidRPr="006C4CDC" w:rsidRDefault="00BC0853" w:rsidP="006C4CDC">
            <w:pPr>
              <w:spacing w:line="262" w:lineRule="exact"/>
              <w:ind w:right="1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 xml:space="preserve">Одночасна детекція флуоресцентних міток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063D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не менш</w:t>
            </w:r>
            <w:r w:rsidRPr="006C4CDC">
              <w:rPr>
                <w:rFonts w:ascii="Times New Roman" w:hAnsi="Times New Roman" w:cs="Times New Roman"/>
                <w:noProof/>
                <w:spacing w:val="-1"/>
                <w:lang w:val="ru-RU"/>
              </w:rPr>
              <w:t>е</w:t>
            </w: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 xml:space="preserve"> ніж в 6-х діапазонах хвиль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3105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</w:p>
        </w:tc>
      </w:tr>
      <w:tr w:rsidR="00BC0853" w:rsidRPr="006C4CDC" w14:paraId="7A545E55" w14:textId="77777777" w:rsidTr="006C4CDC">
        <w:trPr>
          <w:trHeight w:val="4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CF8C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1.11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152F" w14:textId="77777777" w:rsidR="00BC0853" w:rsidRPr="006C4CDC" w:rsidRDefault="00BC0853" w:rsidP="006C4CDC">
            <w:pPr>
              <w:spacing w:line="262" w:lineRule="exact"/>
              <w:ind w:right="1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Представлення даних в реальному масштабі часу, та можливість обробки даних, отриманих під час проведення розділення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986C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Відповідність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33E3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</w:p>
        </w:tc>
      </w:tr>
      <w:tr w:rsidR="00BC0853" w:rsidRPr="006C4CDC" w14:paraId="770D081E" w14:textId="77777777" w:rsidTr="006C4CDC">
        <w:trPr>
          <w:trHeight w:val="4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DF0A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1.12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355C" w14:textId="77777777" w:rsidR="00BC0853" w:rsidRPr="006C4CDC" w:rsidRDefault="00BC0853" w:rsidP="006C4CDC">
            <w:pPr>
              <w:spacing w:line="262" w:lineRule="exact"/>
              <w:ind w:right="1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Програмне забезпечення повністю забезпечує управління приладом та містить усі програми для збору даних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E324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Відповідність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91F4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</w:p>
        </w:tc>
      </w:tr>
      <w:tr w:rsidR="00BC0853" w:rsidRPr="006C4CDC" w14:paraId="6BBBC241" w14:textId="77777777" w:rsidTr="006C4CDC">
        <w:trPr>
          <w:trHeight w:val="4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55DE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1.13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FFF1" w14:textId="77777777" w:rsidR="00BC0853" w:rsidRPr="006C4CDC" w:rsidRDefault="00BC0853" w:rsidP="006C4CDC">
            <w:pPr>
              <w:spacing w:line="262" w:lineRule="exact"/>
              <w:ind w:right="1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 xml:space="preserve">Прилад є валідованим у відповідності до міжнародних визнаних стандартів DAB / SWGDAM в межах завдань з криміналістичної ідентифікації особи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6F4E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Наявність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EA5C" w14:textId="77777777" w:rsidR="00BC0853" w:rsidRPr="006C4CDC" w:rsidRDefault="00BC0853" w:rsidP="006C4CD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Визнання результатів дослідження достовірними</w:t>
            </w:r>
          </w:p>
        </w:tc>
      </w:tr>
      <w:tr w:rsidR="00BC0853" w:rsidRPr="006C4CDC" w14:paraId="41204BC4" w14:textId="77777777" w:rsidTr="006C4CDC">
        <w:trPr>
          <w:trHeight w:val="4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3B1D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1.14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98FB" w14:textId="77777777" w:rsidR="00BC0853" w:rsidRPr="006C4CDC" w:rsidRDefault="00BC0853" w:rsidP="006C4CDC">
            <w:pPr>
              <w:spacing w:line="262" w:lineRule="exact"/>
              <w:ind w:right="1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Автоматичний контроль витрат реагентів з інформуванням користувача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C008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Наявність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CD7F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</w:p>
        </w:tc>
      </w:tr>
      <w:tr w:rsidR="00BC0853" w:rsidRPr="006C4CDC" w14:paraId="5F60E678" w14:textId="77777777" w:rsidTr="006C4CDC">
        <w:trPr>
          <w:trHeight w:val="16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74C0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1.15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955C" w14:textId="77777777" w:rsidR="00BC0853" w:rsidRPr="006C4CDC" w:rsidRDefault="00BC0853" w:rsidP="006C4CDC">
            <w:pPr>
              <w:spacing w:line="262" w:lineRule="exact"/>
              <w:ind w:right="1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Наявність комп`ютера та монітора в комплекті з клавіатурою та оптичною комп’ютерною мишею для аналізу результатів капілярного електрофорезу (1 комплект):</w:t>
            </w:r>
          </w:p>
          <w:p w14:paraId="796CB951" w14:textId="77777777" w:rsidR="00BC0853" w:rsidRPr="006C4CDC" w:rsidRDefault="00BC0853" w:rsidP="006C4CDC">
            <w:pPr>
              <w:numPr>
                <w:ilvl w:val="0"/>
                <w:numId w:val="4"/>
              </w:numPr>
              <w:spacing w:line="262" w:lineRule="exact"/>
              <w:ind w:right="1"/>
              <w:contextualSpacing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Комп’ютер</w:t>
            </w:r>
          </w:p>
          <w:p w14:paraId="5B0E62E4" w14:textId="77777777" w:rsidR="00BC0853" w:rsidRPr="006C4CDC" w:rsidRDefault="00BC0853" w:rsidP="006C4CDC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lang w:val="uk-UA"/>
              </w:rPr>
              <w:t>процесор: не менше 3,4 GHz;</w:t>
            </w:r>
          </w:p>
          <w:p w14:paraId="51F4B871" w14:textId="77777777" w:rsidR="00BC0853" w:rsidRPr="006C4CDC" w:rsidRDefault="00BC0853" w:rsidP="006C4CDC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lang w:val="uk-UA"/>
              </w:rPr>
              <w:t xml:space="preserve">оперативна пам’ять: не менше </w:t>
            </w:r>
            <w:r w:rsidRPr="006C4CDC">
              <w:rPr>
                <w:rFonts w:ascii="Times New Roman" w:hAnsi="Times New Roman" w:cs="Times New Roman"/>
                <w:noProof/>
                <w:lang w:val="ru-RU"/>
              </w:rPr>
              <w:t>8</w:t>
            </w:r>
            <w:r w:rsidRPr="006C4CDC">
              <w:rPr>
                <w:rFonts w:ascii="Times New Roman" w:hAnsi="Times New Roman" w:cs="Times New Roman"/>
                <w:noProof/>
                <w:lang w:val="uk-UA"/>
              </w:rPr>
              <w:t> GB;</w:t>
            </w:r>
          </w:p>
          <w:p w14:paraId="3454AB4E" w14:textId="77777777" w:rsidR="00BC0853" w:rsidRPr="006C4CDC" w:rsidRDefault="00BC0853" w:rsidP="006C4CDC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lang w:val="uk-UA"/>
              </w:rPr>
              <w:t xml:space="preserve">жорсткий диск: не менше 10 ГБ </w:t>
            </w:r>
            <w:r w:rsidRPr="006C4CDC">
              <w:rPr>
                <w:rFonts w:ascii="Times New Roman" w:hAnsi="Times New Roman" w:cs="Times New Roman"/>
                <w:noProof/>
                <w:lang w:val="uk-UA"/>
              </w:rPr>
              <w:lastRenderedPageBreak/>
              <w:t>пам’яті;</w:t>
            </w:r>
          </w:p>
          <w:p w14:paraId="2F3CAA86" w14:textId="77777777" w:rsidR="00BC0853" w:rsidRPr="006C4CDC" w:rsidRDefault="00BC0853" w:rsidP="006C4CDC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lang w:val="uk-UA"/>
              </w:rPr>
              <w:t>наявність мережевої карти;</w:t>
            </w:r>
          </w:p>
          <w:p w14:paraId="4566B2B1" w14:textId="77777777" w:rsidR="00BC0853" w:rsidRPr="006C4CDC" w:rsidRDefault="00BC0853" w:rsidP="006C4CDC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lang w:val="uk-UA"/>
              </w:rPr>
              <w:t xml:space="preserve">протоколи </w:t>
            </w:r>
            <w:r w:rsidRPr="006C4CDC">
              <w:rPr>
                <w:rFonts w:ascii="Times New Roman" w:hAnsi="Times New Roman" w:cs="Times New Roman"/>
                <w:noProof/>
              </w:rPr>
              <w:t>TCP</w:t>
            </w:r>
            <w:r w:rsidRPr="006C4CDC">
              <w:rPr>
                <w:rFonts w:ascii="Times New Roman" w:hAnsi="Times New Roman" w:cs="Times New Roman"/>
                <w:noProof/>
                <w:lang w:val="ru-RU"/>
              </w:rPr>
              <w:t>/</w:t>
            </w:r>
            <w:r w:rsidRPr="006C4CDC">
              <w:rPr>
                <w:rFonts w:ascii="Times New Roman" w:hAnsi="Times New Roman" w:cs="Times New Roman"/>
                <w:noProof/>
              </w:rPr>
              <w:t>IP</w:t>
            </w:r>
            <w:r w:rsidRPr="006C4CDC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Pr="006C4CDC">
              <w:rPr>
                <w:rFonts w:ascii="Times New Roman" w:hAnsi="Times New Roman" w:cs="Times New Roman"/>
                <w:noProof/>
                <w:lang w:val="uk-UA"/>
              </w:rPr>
              <w:t xml:space="preserve">мають бути встановленими </w:t>
            </w:r>
          </w:p>
          <w:p w14:paraId="0FE20C3E" w14:textId="77777777" w:rsidR="00BC0853" w:rsidRPr="006C4CDC" w:rsidRDefault="00BC0853" w:rsidP="006C4CDC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lang w:val="uk-UA"/>
              </w:rPr>
              <w:t>до встановлення програмного забезпечення;</w:t>
            </w:r>
          </w:p>
          <w:p w14:paraId="6DFC5520" w14:textId="77777777" w:rsidR="00BC0853" w:rsidRPr="006C4CDC" w:rsidRDefault="00BC0853" w:rsidP="006C4CDC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lang w:val="uk-UA"/>
              </w:rPr>
              <w:t>операційна система придатна для роботи</w:t>
            </w:r>
          </w:p>
          <w:p w14:paraId="045AAC15" w14:textId="77777777" w:rsidR="00BC0853" w:rsidRPr="006C4CDC" w:rsidRDefault="00BC0853" w:rsidP="006C4CDC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lang w:val="uk-UA"/>
              </w:rPr>
              <w:t xml:space="preserve">з програмним забезпеченням </w:t>
            </w:r>
            <w:r w:rsidRPr="006C4CDC">
              <w:rPr>
                <w:rFonts w:ascii="Times New Roman" w:hAnsi="Times New Roman" w:cs="Times New Roman"/>
                <w:noProof/>
              </w:rPr>
              <w:t>GeneMapper</w:t>
            </w:r>
            <w:r w:rsidRPr="006C4CDC">
              <w:rPr>
                <w:rFonts w:ascii="Times New Roman" w:hAnsi="Times New Roman" w:cs="Times New Roman"/>
                <w:noProof/>
                <w:lang w:val="uk-UA"/>
              </w:rPr>
              <w:t>®</w:t>
            </w:r>
          </w:p>
          <w:p w14:paraId="2588540F" w14:textId="77777777" w:rsidR="00BC0853" w:rsidRPr="006C4CDC" w:rsidRDefault="00BC0853" w:rsidP="006C4CDC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</w:rPr>
              <w:t>ID</w:t>
            </w:r>
            <w:r w:rsidRPr="006C4CDC">
              <w:rPr>
                <w:rFonts w:ascii="Times New Roman" w:hAnsi="Times New Roman" w:cs="Times New Roman"/>
                <w:noProof/>
                <w:lang w:val="uk-UA"/>
              </w:rPr>
              <w:t>-</w:t>
            </w:r>
            <w:r w:rsidRPr="006C4CDC">
              <w:rPr>
                <w:rFonts w:ascii="Times New Roman" w:hAnsi="Times New Roman" w:cs="Times New Roman"/>
                <w:noProof/>
              </w:rPr>
              <w:t>X</w:t>
            </w:r>
            <w:r w:rsidRPr="006C4CDC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6C4CDC">
              <w:rPr>
                <w:rFonts w:ascii="Times New Roman" w:hAnsi="Times New Roman" w:cs="Times New Roman"/>
                <w:noProof/>
              </w:rPr>
              <w:t>Software</w:t>
            </w:r>
            <w:r w:rsidRPr="006C4CDC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6C4CDC">
              <w:rPr>
                <w:rFonts w:ascii="Times New Roman" w:hAnsi="Times New Roman" w:cs="Times New Roman"/>
                <w:noProof/>
              </w:rPr>
              <w:t>Version</w:t>
            </w:r>
            <w:r w:rsidRPr="006C4CDC">
              <w:rPr>
                <w:rFonts w:ascii="Times New Roman" w:hAnsi="Times New Roman" w:cs="Times New Roman"/>
                <w:noProof/>
                <w:lang w:val="uk-UA"/>
              </w:rPr>
              <w:t xml:space="preserve"> 1.6 або 1.7.</w:t>
            </w:r>
          </w:p>
          <w:p w14:paraId="7A0D804A" w14:textId="77777777" w:rsidR="00BC0853" w:rsidRPr="006C4CDC" w:rsidRDefault="00BC0853" w:rsidP="006C4CDC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noProof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lang w:val="uk-UA"/>
              </w:rPr>
              <w:t>Монітор</w:t>
            </w:r>
          </w:p>
          <w:p w14:paraId="72FF839A" w14:textId="77777777" w:rsidR="00BC0853" w:rsidRPr="006C4CDC" w:rsidRDefault="00BC0853" w:rsidP="006C4CDC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lang w:val="uk-UA"/>
              </w:rPr>
              <w:t>роздільна здатність: не менше 1024 х 768 пікселів;</w:t>
            </w:r>
          </w:p>
          <w:p w14:paraId="4F689A5D" w14:textId="77777777" w:rsidR="00BC0853" w:rsidRPr="006C4CDC" w:rsidRDefault="00BC0853" w:rsidP="006C4CDC">
            <w:pPr>
              <w:spacing w:line="262" w:lineRule="exact"/>
              <w:ind w:right="1"/>
              <w:rPr>
                <w:rFonts w:ascii="Times New Roman" w:hAnsi="Times New Roman" w:cs="Times New Roman"/>
                <w:noProof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lang w:val="uk-UA"/>
              </w:rPr>
              <w:t>розмір дисплею: не менше 19 дюймів.</w:t>
            </w:r>
          </w:p>
          <w:p w14:paraId="7AF6BF84" w14:textId="77777777" w:rsidR="00BC0853" w:rsidRPr="006C4CDC" w:rsidRDefault="00BC0853" w:rsidP="006C4CDC">
            <w:pPr>
              <w:spacing w:line="262" w:lineRule="exact"/>
              <w:ind w:right="1"/>
              <w:rPr>
                <w:rFonts w:ascii="Times New Roman" w:hAnsi="Times New Roman" w:cs="Times New Roman"/>
                <w:noProof/>
                <w:lang w:val="uk-UA"/>
              </w:rPr>
            </w:pPr>
          </w:p>
          <w:p w14:paraId="671E3412" w14:textId="77777777" w:rsidR="00BC0853" w:rsidRPr="006C4CDC" w:rsidRDefault="00BC0853" w:rsidP="006C4CDC">
            <w:pPr>
              <w:spacing w:line="262" w:lineRule="exact"/>
              <w:ind w:right="1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Наявність комп`ютера та монітора</w:t>
            </w:r>
            <w:r w:rsidRPr="006C4CDC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в комплекті з клавіатурою та оптичною комп’ютерною мишею для аналізу результатів капілярного електрофорезу (1 комплект):</w:t>
            </w:r>
          </w:p>
          <w:p w14:paraId="0CC07FF7" w14:textId="77777777" w:rsidR="00BC0853" w:rsidRPr="006C4CDC" w:rsidRDefault="00BC0853" w:rsidP="006C4CDC">
            <w:pPr>
              <w:spacing w:line="262" w:lineRule="exact"/>
              <w:ind w:right="1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для проведення капілярного електрофорезу:</w:t>
            </w:r>
          </w:p>
          <w:p w14:paraId="4FF9F002" w14:textId="77777777" w:rsidR="00BC0853" w:rsidRPr="006C4CDC" w:rsidRDefault="00BC0853" w:rsidP="006C4CDC">
            <w:pPr>
              <w:numPr>
                <w:ilvl w:val="0"/>
                <w:numId w:val="4"/>
              </w:numPr>
              <w:spacing w:line="262" w:lineRule="exact"/>
              <w:ind w:right="1"/>
              <w:contextualSpacing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Комп’ютер</w:t>
            </w:r>
          </w:p>
          <w:p w14:paraId="42796F4B" w14:textId="77777777" w:rsidR="00BC0853" w:rsidRPr="006C4CDC" w:rsidRDefault="00BC0853" w:rsidP="006C4CDC">
            <w:pPr>
              <w:spacing w:line="262" w:lineRule="exact"/>
              <w:ind w:right="1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процесор: частота не менше 3,1 GHz;</w:t>
            </w:r>
          </w:p>
          <w:p w14:paraId="47AF5FAC" w14:textId="77777777" w:rsidR="00BC0853" w:rsidRPr="006C4CDC" w:rsidRDefault="00BC0853" w:rsidP="006C4CDC">
            <w:pPr>
              <w:spacing w:line="262" w:lineRule="exact"/>
              <w:ind w:right="1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оперативна пам’ять: не менше 16 GB;</w:t>
            </w:r>
          </w:p>
          <w:p w14:paraId="2DF611A4" w14:textId="77777777" w:rsidR="00BC0853" w:rsidRPr="006C4CDC" w:rsidRDefault="00BC0853" w:rsidP="006C4CDC">
            <w:pPr>
              <w:spacing w:line="262" w:lineRule="exact"/>
              <w:ind w:right="1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жорсткий диск: не менше 500 ГБ пам’яті;</w:t>
            </w:r>
          </w:p>
          <w:p w14:paraId="540F9758" w14:textId="77777777" w:rsidR="00BC0853" w:rsidRPr="006C4CDC" w:rsidRDefault="00BC0853" w:rsidP="006C4CDC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lang w:val="uk-UA"/>
              </w:rPr>
              <w:t xml:space="preserve">протоколи </w:t>
            </w:r>
            <w:r w:rsidRPr="006C4CDC">
              <w:rPr>
                <w:rFonts w:ascii="Times New Roman" w:hAnsi="Times New Roman" w:cs="Times New Roman"/>
                <w:noProof/>
              </w:rPr>
              <w:t>TCP</w:t>
            </w:r>
            <w:r w:rsidRPr="006C4CDC">
              <w:rPr>
                <w:rFonts w:ascii="Times New Roman" w:hAnsi="Times New Roman" w:cs="Times New Roman"/>
                <w:noProof/>
                <w:lang w:val="ru-RU"/>
              </w:rPr>
              <w:t>/</w:t>
            </w:r>
            <w:r w:rsidRPr="006C4CDC">
              <w:rPr>
                <w:rFonts w:ascii="Times New Roman" w:hAnsi="Times New Roman" w:cs="Times New Roman"/>
                <w:noProof/>
              </w:rPr>
              <w:t>IP</w:t>
            </w:r>
            <w:r w:rsidRPr="006C4CDC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Pr="006C4CDC">
              <w:rPr>
                <w:rFonts w:ascii="Times New Roman" w:hAnsi="Times New Roman" w:cs="Times New Roman"/>
                <w:noProof/>
                <w:lang w:val="uk-UA"/>
              </w:rPr>
              <w:t xml:space="preserve">мають бути встановленими </w:t>
            </w:r>
          </w:p>
          <w:p w14:paraId="752DF1D8" w14:textId="77777777" w:rsidR="00BC0853" w:rsidRPr="006C4CDC" w:rsidRDefault="00BC0853" w:rsidP="006C4CDC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lang w:val="uk-UA"/>
              </w:rPr>
              <w:t>до встановлення програмного забезпечення;</w:t>
            </w:r>
          </w:p>
          <w:p w14:paraId="7EA3D45D" w14:textId="77777777" w:rsidR="00BC0853" w:rsidRPr="006C4CDC" w:rsidRDefault="00BC0853" w:rsidP="006C4CDC">
            <w:pPr>
              <w:spacing w:line="262" w:lineRule="exact"/>
              <w:ind w:right="1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наявність двох мережевих карт;</w:t>
            </w:r>
          </w:p>
          <w:p w14:paraId="6E16FF60" w14:textId="77777777" w:rsidR="00BC0853" w:rsidRPr="006C4CDC" w:rsidRDefault="00BC0853" w:rsidP="006C4CDC">
            <w:pPr>
              <w:spacing w:line="262" w:lineRule="exact"/>
              <w:ind w:right="1"/>
              <w:rPr>
                <w:rFonts w:ascii="Times New Roman" w:hAnsi="Times New Roman" w:cs="Times New Roman"/>
                <w:noProof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 xml:space="preserve">64-розрядна операційна система </w:t>
            </w:r>
            <w:r w:rsidRPr="006C4CDC">
              <w:rPr>
                <w:rFonts w:ascii="Times New Roman" w:hAnsi="Times New Roman" w:cs="Times New Roman"/>
                <w:noProof/>
                <w:lang w:val="uk-UA"/>
              </w:rPr>
              <w:t xml:space="preserve">придатна </w:t>
            </w:r>
          </w:p>
          <w:p w14:paraId="034FEF01" w14:textId="77777777" w:rsidR="00BC0853" w:rsidRPr="006C4CDC" w:rsidRDefault="00BC0853" w:rsidP="006C4CDC">
            <w:pPr>
              <w:spacing w:line="262" w:lineRule="exact"/>
              <w:ind w:right="1"/>
              <w:rPr>
                <w:rFonts w:ascii="Times New Roman" w:hAnsi="Times New Roman" w:cs="Times New Roman"/>
                <w:noProof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lang w:val="uk-UA"/>
              </w:rPr>
              <w:t>для роботи з програмним забезпеченням</w:t>
            </w:r>
          </w:p>
          <w:p w14:paraId="2C90A6D9" w14:textId="77777777" w:rsidR="00BC0853" w:rsidRPr="006C4CDC" w:rsidRDefault="00BC0853" w:rsidP="006C4CDC">
            <w:pPr>
              <w:spacing w:line="262" w:lineRule="exact"/>
              <w:ind w:right="1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</w:rPr>
              <w:t>Data</w:t>
            </w:r>
            <w:r w:rsidRPr="006C4CDC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6C4CDC">
              <w:rPr>
                <w:rFonts w:ascii="Times New Roman" w:hAnsi="Times New Roman" w:cs="Times New Roman"/>
                <w:noProof/>
              </w:rPr>
              <w:t>Collection</w:t>
            </w:r>
            <w:r w:rsidRPr="006C4CDC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6C4CDC">
              <w:rPr>
                <w:rFonts w:ascii="Times New Roman" w:hAnsi="Times New Roman" w:cs="Times New Roman"/>
                <w:noProof/>
              </w:rPr>
              <w:t>Software</w:t>
            </w:r>
            <w:r w:rsidRPr="006C4CDC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6C4CDC">
              <w:rPr>
                <w:rFonts w:ascii="Times New Roman" w:hAnsi="Times New Roman" w:cs="Times New Roman"/>
                <w:noProof/>
              </w:rPr>
              <w:t>Version</w:t>
            </w:r>
            <w:r w:rsidRPr="006C4CDC">
              <w:rPr>
                <w:rFonts w:ascii="Times New Roman" w:hAnsi="Times New Roman" w:cs="Times New Roman"/>
                <w:noProof/>
                <w:lang w:val="uk-UA"/>
              </w:rPr>
              <w:t xml:space="preserve"> 3.3 або 4.0.1</w:t>
            </w: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.</w:t>
            </w:r>
          </w:p>
          <w:p w14:paraId="546EFC6E" w14:textId="77777777" w:rsidR="00BC0853" w:rsidRPr="006C4CDC" w:rsidRDefault="00BC0853" w:rsidP="006C4CDC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noProof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lang w:val="uk-UA"/>
              </w:rPr>
              <w:t>Монітор</w:t>
            </w:r>
          </w:p>
          <w:p w14:paraId="40D6FBE0" w14:textId="77777777" w:rsidR="00BC0853" w:rsidRPr="006C4CDC" w:rsidRDefault="00BC0853" w:rsidP="006C4CDC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lang w:val="uk-UA"/>
              </w:rPr>
              <w:t>роздільна здатність: не менше 1280 х 1024 пікселів;</w:t>
            </w:r>
          </w:p>
          <w:p w14:paraId="12899A24" w14:textId="77777777" w:rsidR="00BC0853" w:rsidRPr="006C4CDC" w:rsidRDefault="00BC0853" w:rsidP="006C4CDC">
            <w:pPr>
              <w:spacing w:line="262" w:lineRule="exact"/>
              <w:ind w:right="1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lang w:val="uk-UA"/>
              </w:rPr>
              <w:t>розмір дисплею: не менше 19 дюймів.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21C8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lastRenderedPageBreak/>
              <w:t>Наявність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D32B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</w:p>
        </w:tc>
      </w:tr>
      <w:tr w:rsidR="00BC0853" w:rsidRPr="006C4CDC" w14:paraId="5E754337" w14:textId="77777777" w:rsidTr="006C4CDC">
        <w:trPr>
          <w:trHeight w:val="4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7F3C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1.16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DB05" w14:textId="77777777" w:rsidR="00BC0853" w:rsidRPr="006C4CDC" w:rsidRDefault="00BC0853" w:rsidP="006C4CDC">
            <w:pPr>
              <w:spacing w:line="262" w:lineRule="exact"/>
              <w:ind w:right="1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Наявність джерела безперебійного живлення типу APS повна потужність не менше, 3000 В*А; "online"- режим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0776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 xml:space="preserve">Відповідність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1FFE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</w:p>
        </w:tc>
      </w:tr>
      <w:tr w:rsidR="00BC0853" w:rsidRPr="006C4CDC" w14:paraId="5EC6CCFD" w14:textId="77777777" w:rsidTr="006C4CDC">
        <w:trPr>
          <w:trHeight w:val="4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7D34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1.17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2721" w14:textId="77777777" w:rsidR="00BC0853" w:rsidRPr="006C4CDC" w:rsidRDefault="00BC0853" w:rsidP="006C4CDC">
            <w:pPr>
              <w:spacing w:line="262" w:lineRule="exact"/>
              <w:ind w:right="1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Спеціалізоване програмне забезпечення Data Collection та GeneMapper ID-X для генотипування експертних зразків і створення внутрішньолабораторної бази даних, інсталяційний набір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04C3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Наявність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9CA1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</w:p>
        </w:tc>
      </w:tr>
      <w:tr w:rsidR="00BC0853" w:rsidRPr="006C4CDC" w14:paraId="534433CF" w14:textId="77777777" w:rsidTr="006C4CDC">
        <w:trPr>
          <w:trHeight w:val="4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F389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1.18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7847" w14:textId="77777777" w:rsidR="00BC0853" w:rsidRPr="006C4CDC" w:rsidRDefault="00BC0853" w:rsidP="006C4CDC">
            <w:pPr>
              <w:spacing w:line="262" w:lineRule="exact"/>
              <w:ind w:right="1"/>
              <w:rPr>
                <w:rFonts w:ascii="Times New Roman" w:hAnsi="Times New Roman" w:cs="Times New Roman"/>
                <w:noProof/>
                <w:spacing w:val="-1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Наявність керівництва з експлуатації</w:t>
            </w:r>
            <w:r w:rsidRPr="006C4CDC">
              <w:rPr>
                <w:rFonts w:ascii="Times New Roman" w:hAnsi="Times New Roman" w:cs="Times New Roman"/>
                <w:noProof/>
                <w:spacing w:val="-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2DC1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Наявність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4FF5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</w:p>
        </w:tc>
      </w:tr>
      <w:tr w:rsidR="00BC0853" w:rsidRPr="006C4CDC" w14:paraId="72FBDFE2" w14:textId="77777777" w:rsidTr="006C4CDC">
        <w:trPr>
          <w:trHeight w:val="4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62D0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1.19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C4DE" w14:textId="77777777" w:rsidR="00BC0853" w:rsidRPr="006C4CDC" w:rsidRDefault="00BC0853" w:rsidP="006C4CDC">
            <w:pPr>
              <w:spacing w:line="262" w:lineRule="exact"/>
              <w:ind w:right="1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Гарантійне обслуговування приладів  не менше 12 місяців з моменту введення в експлуатацію.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4381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  <w:r w:rsidRPr="006C4CDC">
              <w:rPr>
                <w:rFonts w:ascii="Times New Roman" w:hAnsi="Times New Roman" w:cs="Times New Roman"/>
                <w:noProof/>
                <w:spacing w:val="-1"/>
                <w:lang w:val="uk-UA"/>
              </w:rPr>
              <w:t>Наявність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70F3" w14:textId="77777777" w:rsidR="00BC0853" w:rsidRPr="006C4CDC" w:rsidRDefault="00BC0853" w:rsidP="006C4CD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noProof/>
                <w:spacing w:val="-1"/>
                <w:lang w:val="uk-UA"/>
              </w:rPr>
            </w:pPr>
          </w:p>
        </w:tc>
      </w:tr>
    </w:tbl>
    <w:p w14:paraId="35C8AE4A" w14:textId="77777777" w:rsidR="006C4CDC" w:rsidRDefault="006C4CDC">
      <w:pPr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</w:pPr>
      <w:bookmarkStart w:id="1" w:name="_Hlk165035224"/>
      <w:r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br w:type="page"/>
      </w:r>
    </w:p>
    <w:p w14:paraId="605956E4" w14:textId="7D54B5A0" w:rsidR="006C4CDC" w:rsidRPr="006C4CDC" w:rsidRDefault="006C4CDC" w:rsidP="006C4CD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C4C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Обґрунтування</w:t>
      </w:r>
    </w:p>
    <w:p w14:paraId="5E675C71" w14:textId="1F90E1A9" w:rsidR="006C4CDC" w:rsidRPr="003C324A" w:rsidRDefault="006C4CDC" w:rsidP="006C4CDC">
      <w:pPr>
        <w:pStyle w:val="ab"/>
        <w:jc w:val="center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3C324A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розміру бюджетного призначення та очікуваної вартості предмета закупівлі</w:t>
      </w:r>
    </w:p>
    <w:p w14:paraId="770BD456" w14:textId="77777777" w:rsidR="006C4CDC" w:rsidRPr="003C324A" w:rsidRDefault="006C4CDC" w:rsidP="006C4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C324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Код ДК 021:2015 38430000-8 Детектори та аналізатори (24-х капілярний генетичний аналізатор ДНК)</w:t>
      </w:r>
    </w:p>
    <w:p w14:paraId="1BDDCC19" w14:textId="77777777" w:rsidR="006C4CDC" w:rsidRPr="006C4CDC" w:rsidRDefault="006C4CDC" w:rsidP="006C4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6C4CD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(назва предмета закупівлі)</w:t>
      </w:r>
    </w:p>
    <w:p w14:paraId="26EBA171" w14:textId="77777777" w:rsidR="006C4CDC" w:rsidRPr="006C4CDC" w:rsidRDefault="006C4CDC" w:rsidP="006C4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89D3508" w14:textId="77777777" w:rsidR="006C4CDC" w:rsidRPr="003C324A" w:rsidRDefault="006C4CDC" w:rsidP="006C4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C324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(номер/ ідентифікатор закупівлі UA-2024-10-29-014020-a)</w:t>
      </w:r>
    </w:p>
    <w:p w14:paraId="14CCB015" w14:textId="77777777" w:rsidR="006C4CDC" w:rsidRPr="006C4CDC" w:rsidRDefault="006C4CDC" w:rsidP="006C4CDC">
      <w:pPr>
        <w:pStyle w:val="ab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B8BC7FC" w14:textId="32A85A64" w:rsidR="006C4CDC" w:rsidRPr="006C4CDC" w:rsidRDefault="006C4CDC" w:rsidP="006C4CDC">
      <w:pPr>
        <w:pStyle w:val="ab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6C4CDC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23 140 813,33 грн</w:t>
      </w:r>
    </w:p>
    <w:p w14:paraId="4FCA50BE" w14:textId="04A840A7" w:rsidR="00C30354" w:rsidRPr="006C4CDC" w:rsidRDefault="006C4CDC" w:rsidP="006C4CDC">
      <w:pPr>
        <w:pStyle w:val="ab"/>
        <w:jc w:val="center"/>
        <w:rPr>
          <w:rFonts w:ascii="Times New Roman" w:hAnsi="Times New Roman" w:cs="Times New Roman"/>
          <w:noProof/>
          <w:sz w:val="18"/>
          <w:szCs w:val="18"/>
          <w:lang w:eastAsia="ru-RU"/>
        </w:rPr>
      </w:pPr>
      <w:r w:rsidRPr="006C4CDC">
        <w:rPr>
          <w:rFonts w:ascii="Times New Roman" w:hAnsi="Times New Roman" w:cs="Times New Roman"/>
          <w:noProof/>
          <w:sz w:val="18"/>
          <w:szCs w:val="18"/>
          <w:lang w:eastAsia="ru-RU"/>
        </w:rPr>
        <w:t>(загальна очікувана вартість предмета закупівлі)</w:t>
      </w:r>
    </w:p>
    <w:p w14:paraId="45C50A8E" w14:textId="77777777" w:rsidR="006C4CDC" w:rsidRPr="006C4CDC" w:rsidRDefault="006C4CDC" w:rsidP="006C4CDC">
      <w:pPr>
        <w:pStyle w:val="ab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14:paraId="4EF7F875" w14:textId="70BAF506" w:rsidR="00C30354" w:rsidRDefault="00C30354" w:rsidP="006C4CDC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C4CDC">
        <w:rPr>
          <w:rFonts w:ascii="Times New Roman" w:hAnsi="Times New Roman" w:cs="Times New Roman"/>
          <w:spacing w:val="-1"/>
          <w:sz w:val="24"/>
          <w:szCs w:val="24"/>
        </w:rPr>
        <w:t xml:space="preserve">1. </w:t>
      </w:r>
      <w:r w:rsidR="006C4CDC" w:rsidRPr="006C4CDC">
        <w:rPr>
          <w:rFonts w:ascii="Times New Roman" w:hAnsi="Times New Roman" w:cs="Times New Roman"/>
          <w:spacing w:val="-1"/>
          <w:sz w:val="24"/>
          <w:szCs w:val="24"/>
        </w:rPr>
        <w:t>24-х капілярний генетичний аналізатор ДНК – 1 шт.</w:t>
      </w:r>
      <w:r w:rsidRPr="006C4CDC">
        <w:rPr>
          <w:rFonts w:ascii="Times New Roman" w:hAnsi="Times New Roman" w:cs="Times New Roman"/>
          <w:spacing w:val="-1"/>
          <w:sz w:val="24"/>
          <w:szCs w:val="24"/>
        </w:rPr>
        <w:t xml:space="preserve">, очікувана вартість предмета закупівлі – </w:t>
      </w:r>
      <w:r w:rsidRPr="006C4CD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23</w:t>
      </w:r>
      <w:r w:rsidR="006C4CD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C4CD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140</w:t>
      </w:r>
      <w:r w:rsidR="006C4CD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C4CD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813,33</w:t>
      </w:r>
      <w:r w:rsidRPr="006C4C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C4CDC">
        <w:rPr>
          <w:rFonts w:ascii="Times New Roman" w:hAnsi="Times New Roman" w:cs="Times New Roman"/>
          <w:spacing w:val="-1"/>
          <w:sz w:val="24"/>
          <w:szCs w:val="24"/>
        </w:rPr>
        <w:t>грн.</w:t>
      </w:r>
    </w:p>
    <w:p w14:paraId="4F56D89F" w14:textId="77777777" w:rsidR="006C4CDC" w:rsidRPr="006C4CDC" w:rsidRDefault="006C4CDC" w:rsidP="006C4C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aa"/>
        <w:tblW w:w="10201" w:type="dxa"/>
        <w:jc w:val="center"/>
        <w:tblLook w:val="04A0" w:firstRow="1" w:lastRow="0" w:firstColumn="1" w:lastColumn="0" w:noHBand="0" w:noVBand="1"/>
      </w:tblPr>
      <w:tblGrid>
        <w:gridCol w:w="506"/>
        <w:gridCol w:w="2579"/>
        <w:gridCol w:w="2580"/>
        <w:gridCol w:w="4536"/>
      </w:tblGrid>
      <w:tr w:rsidR="006C4CDC" w:rsidRPr="006C4CDC" w14:paraId="59D3FC1F" w14:textId="77777777" w:rsidTr="006C4CDC">
        <w:trPr>
          <w:jc w:val="center"/>
        </w:trPr>
        <w:tc>
          <w:tcPr>
            <w:tcW w:w="506" w:type="dxa"/>
            <w:vAlign w:val="center"/>
          </w:tcPr>
          <w:bookmarkEnd w:id="1"/>
          <w:p w14:paraId="5ED9C05D" w14:textId="77777777" w:rsidR="006C4CDC" w:rsidRPr="006C4CDC" w:rsidRDefault="006C4CDC" w:rsidP="00E457A3">
            <w:pPr>
              <w:pStyle w:val="20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6C4CDC">
              <w:rPr>
                <w:rStyle w:val="214pt"/>
                <w:sz w:val="24"/>
                <w:szCs w:val="24"/>
              </w:rPr>
              <w:t>№</w:t>
            </w:r>
          </w:p>
          <w:p w14:paraId="62B5A9B1" w14:textId="77777777" w:rsidR="006C4CDC" w:rsidRPr="006C4CDC" w:rsidRDefault="006C4CDC" w:rsidP="00E457A3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CDC">
              <w:rPr>
                <w:rStyle w:val="214pt"/>
                <w:sz w:val="24"/>
                <w:szCs w:val="24"/>
              </w:rPr>
              <w:t>з/п</w:t>
            </w:r>
          </w:p>
        </w:tc>
        <w:tc>
          <w:tcPr>
            <w:tcW w:w="2579" w:type="dxa"/>
            <w:vAlign w:val="center"/>
          </w:tcPr>
          <w:p w14:paraId="6E3BD971" w14:textId="77777777" w:rsidR="006C4CDC" w:rsidRPr="006C4CDC" w:rsidRDefault="006C4CDC" w:rsidP="00E457A3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CDC">
              <w:rPr>
                <w:rStyle w:val="214pt"/>
                <w:sz w:val="24"/>
                <w:szCs w:val="24"/>
              </w:rPr>
              <w:t>Розмір бюджетного призначення</w:t>
            </w:r>
          </w:p>
        </w:tc>
        <w:tc>
          <w:tcPr>
            <w:tcW w:w="2580" w:type="dxa"/>
            <w:vAlign w:val="center"/>
          </w:tcPr>
          <w:p w14:paraId="0911C4B5" w14:textId="77777777" w:rsidR="006C4CDC" w:rsidRPr="006C4CDC" w:rsidRDefault="006C4CDC" w:rsidP="00E457A3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CDC">
              <w:rPr>
                <w:rStyle w:val="214pt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4536" w:type="dxa"/>
            <w:vAlign w:val="center"/>
          </w:tcPr>
          <w:p w14:paraId="09B40296" w14:textId="77777777" w:rsidR="006C4CDC" w:rsidRPr="006C4CDC" w:rsidRDefault="006C4CDC" w:rsidP="00E457A3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4CDC">
              <w:rPr>
                <w:rStyle w:val="214pt"/>
                <w:sz w:val="24"/>
                <w:szCs w:val="24"/>
              </w:rPr>
              <w:t>Обґрунтування розміру очікуваної вартості</w:t>
            </w:r>
          </w:p>
        </w:tc>
      </w:tr>
      <w:tr w:rsidR="006C4CDC" w:rsidRPr="006C4CDC" w14:paraId="33EFB4A8" w14:textId="77777777" w:rsidTr="006C4CDC">
        <w:trPr>
          <w:jc w:val="center"/>
        </w:trPr>
        <w:tc>
          <w:tcPr>
            <w:tcW w:w="506" w:type="dxa"/>
            <w:vAlign w:val="center"/>
          </w:tcPr>
          <w:p w14:paraId="5AE8236E" w14:textId="12BEED4B" w:rsidR="006C4CDC" w:rsidRPr="006C4CDC" w:rsidRDefault="006C4CDC" w:rsidP="006C4CDC">
            <w:pPr>
              <w:pStyle w:val="20"/>
              <w:shd w:val="clear" w:color="auto" w:fill="auto"/>
              <w:spacing w:after="60" w:line="240" w:lineRule="auto"/>
              <w:rPr>
                <w:rStyle w:val="214pt"/>
                <w:sz w:val="24"/>
                <w:szCs w:val="24"/>
              </w:rPr>
            </w:pPr>
            <w:r w:rsidRPr="006C4CDC">
              <w:rPr>
                <w:noProof/>
                <w:spacing w:val="-1"/>
                <w:sz w:val="24"/>
              </w:rPr>
              <w:t>1.</w:t>
            </w:r>
          </w:p>
        </w:tc>
        <w:tc>
          <w:tcPr>
            <w:tcW w:w="2579" w:type="dxa"/>
            <w:vAlign w:val="center"/>
          </w:tcPr>
          <w:p w14:paraId="16A41904" w14:textId="07A97278" w:rsidR="006C4CDC" w:rsidRPr="006C4CDC" w:rsidRDefault="006C4CDC" w:rsidP="006C4CDC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6C4CDC">
              <w:rPr>
                <w:rFonts w:ascii="Times New Roman" w:hAnsi="Times New Roman" w:cs="Times New Roman"/>
                <w:b/>
                <w:color w:val="000000"/>
              </w:rPr>
              <w:t>23 140 813,33</w:t>
            </w:r>
          </w:p>
        </w:tc>
        <w:tc>
          <w:tcPr>
            <w:tcW w:w="2580" w:type="dxa"/>
            <w:vAlign w:val="center"/>
          </w:tcPr>
          <w:p w14:paraId="30607111" w14:textId="2EBCB534" w:rsidR="006C4CDC" w:rsidRPr="006C4CDC" w:rsidRDefault="006C4CDC" w:rsidP="006C4CDC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6C4CDC">
              <w:rPr>
                <w:rFonts w:ascii="Times New Roman" w:hAnsi="Times New Roman" w:cs="Times New Roman"/>
                <w:b/>
                <w:color w:val="000000"/>
              </w:rPr>
              <w:t>23 140 813,33</w:t>
            </w:r>
          </w:p>
        </w:tc>
        <w:tc>
          <w:tcPr>
            <w:tcW w:w="4536" w:type="dxa"/>
            <w:vAlign w:val="center"/>
          </w:tcPr>
          <w:p w14:paraId="7EDE5F01" w14:textId="1772887F" w:rsidR="006C4CDC" w:rsidRPr="006C4CDC" w:rsidRDefault="006C4CDC" w:rsidP="006C4CDC">
            <w:pPr>
              <w:pStyle w:val="30"/>
              <w:shd w:val="clear" w:color="auto" w:fill="auto"/>
              <w:spacing w:line="240" w:lineRule="auto"/>
              <w:jc w:val="both"/>
              <w:rPr>
                <w:rStyle w:val="214pt"/>
                <w:sz w:val="24"/>
                <w:szCs w:val="24"/>
              </w:rPr>
            </w:pPr>
            <w:r w:rsidRPr="006C4CDC">
              <w:rPr>
                <w:sz w:val="24"/>
                <w:szCs w:val="24"/>
              </w:rPr>
              <w:t>Очікувана вартість визначалася згідно п.п. 2 п.1 розділу 3 «Примірної методики визначення очікуваної вартості предмета закупівлі», затвердженої наказом Міністерства розвитку, економіки, торгівлі та сільського господарства України № 275 від 18.02.2020.</w:t>
            </w:r>
          </w:p>
        </w:tc>
      </w:tr>
    </w:tbl>
    <w:p w14:paraId="5C26124F" w14:textId="77087EF6" w:rsidR="00B42F33" w:rsidRPr="006C4CDC" w:rsidRDefault="00B42F33" w:rsidP="006C4CD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sectPr w:rsidR="00B42F33" w:rsidRPr="006C4CDC" w:rsidSect="006C4CDC">
      <w:type w:val="oddPage"/>
      <w:pgSz w:w="11906" w:h="16838"/>
      <w:pgMar w:top="426" w:right="424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4D14E" w14:textId="77777777" w:rsidR="00703FD4" w:rsidRDefault="00703FD4" w:rsidP="00A068FE">
      <w:pPr>
        <w:spacing w:after="0" w:line="240" w:lineRule="auto"/>
      </w:pPr>
      <w:r>
        <w:separator/>
      </w:r>
    </w:p>
  </w:endnote>
  <w:endnote w:type="continuationSeparator" w:id="0">
    <w:p w14:paraId="5624B205" w14:textId="77777777" w:rsidR="00703FD4" w:rsidRDefault="00703FD4" w:rsidP="00A0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68E0F" w14:textId="77777777" w:rsidR="00703FD4" w:rsidRDefault="00703FD4" w:rsidP="00A068FE">
      <w:pPr>
        <w:spacing w:after="0" w:line="240" w:lineRule="auto"/>
      </w:pPr>
      <w:r>
        <w:separator/>
      </w:r>
    </w:p>
  </w:footnote>
  <w:footnote w:type="continuationSeparator" w:id="0">
    <w:p w14:paraId="70701715" w14:textId="77777777" w:rsidR="00703FD4" w:rsidRDefault="00703FD4" w:rsidP="00A06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F62B1"/>
    <w:multiLevelType w:val="hybridMultilevel"/>
    <w:tmpl w:val="4F62F65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219BA"/>
    <w:multiLevelType w:val="hybridMultilevel"/>
    <w:tmpl w:val="310ABF36"/>
    <w:lvl w:ilvl="0" w:tplc="2B2EEDD6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C61157E"/>
    <w:multiLevelType w:val="hybridMultilevel"/>
    <w:tmpl w:val="2402AA1A"/>
    <w:lvl w:ilvl="0" w:tplc="246809D2">
      <w:start w:val="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2525B"/>
    <w:multiLevelType w:val="hybridMultilevel"/>
    <w:tmpl w:val="05F84AB0"/>
    <w:lvl w:ilvl="0" w:tplc="B19E75AE">
      <w:start w:val="1"/>
      <w:numFmt w:val="decimal"/>
      <w:lvlText w:val="%1."/>
      <w:lvlJc w:val="left"/>
      <w:pPr>
        <w:ind w:left="45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79" w:hanging="360"/>
      </w:pPr>
    </w:lvl>
    <w:lvl w:ilvl="2" w:tplc="0422001B" w:tentative="1">
      <w:start w:val="1"/>
      <w:numFmt w:val="lowerRoman"/>
      <w:lvlText w:val="%3."/>
      <w:lvlJc w:val="right"/>
      <w:pPr>
        <w:ind w:left="1899" w:hanging="180"/>
      </w:pPr>
    </w:lvl>
    <w:lvl w:ilvl="3" w:tplc="0422000F" w:tentative="1">
      <w:start w:val="1"/>
      <w:numFmt w:val="decimal"/>
      <w:lvlText w:val="%4."/>
      <w:lvlJc w:val="left"/>
      <w:pPr>
        <w:ind w:left="2619" w:hanging="360"/>
      </w:pPr>
    </w:lvl>
    <w:lvl w:ilvl="4" w:tplc="04220019" w:tentative="1">
      <w:start w:val="1"/>
      <w:numFmt w:val="lowerLetter"/>
      <w:lvlText w:val="%5."/>
      <w:lvlJc w:val="left"/>
      <w:pPr>
        <w:ind w:left="3339" w:hanging="360"/>
      </w:pPr>
    </w:lvl>
    <w:lvl w:ilvl="5" w:tplc="0422001B" w:tentative="1">
      <w:start w:val="1"/>
      <w:numFmt w:val="lowerRoman"/>
      <w:lvlText w:val="%6."/>
      <w:lvlJc w:val="right"/>
      <w:pPr>
        <w:ind w:left="4059" w:hanging="180"/>
      </w:pPr>
    </w:lvl>
    <w:lvl w:ilvl="6" w:tplc="0422000F" w:tentative="1">
      <w:start w:val="1"/>
      <w:numFmt w:val="decimal"/>
      <w:lvlText w:val="%7."/>
      <w:lvlJc w:val="left"/>
      <w:pPr>
        <w:ind w:left="4779" w:hanging="360"/>
      </w:pPr>
    </w:lvl>
    <w:lvl w:ilvl="7" w:tplc="04220019" w:tentative="1">
      <w:start w:val="1"/>
      <w:numFmt w:val="lowerLetter"/>
      <w:lvlText w:val="%8."/>
      <w:lvlJc w:val="left"/>
      <w:pPr>
        <w:ind w:left="5499" w:hanging="360"/>
      </w:pPr>
    </w:lvl>
    <w:lvl w:ilvl="8" w:tplc="0422001B" w:tentative="1">
      <w:start w:val="1"/>
      <w:numFmt w:val="lowerRoman"/>
      <w:lvlText w:val="%9."/>
      <w:lvlJc w:val="right"/>
      <w:pPr>
        <w:ind w:left="621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AB"/>
    <w:rsid w:val="00000DCF"/>
    <w:rsid w:val="00002EA5"/>
    <w:rsid w:val="000109B7"/>
    <w:rsid w:val="000138F8"/>
    <w:rsid w:val="0001492F"/>
    <w:rsid w:val="00036169"/>
    <w:rsid w:val="00057F54"/>
    <w:rsid w:val="000671D1"/>
    <w:rsid w:val="00067F37"/>
    <w:rsid w:val="00073483"/>
    <w:rsid w:val="000B70FA"/>
    <w:rsid w:val="000C0E18"/>
    <w:rsid w:val="000D4B0C"/>
    <w:rsid w:val="000F262E"/>
    <w:rsid w:val="000F6D06"/>
    <w:rsid w:val="00112AA5"/>
    <w:rsid w:val="0011323D"/>
    <w:rsid w:val="001148DB"/>
    <w:rsid w:val="00136DD1"/>
    <w:rsid w:val="001644BF"/>
    <w:rsid w:val="001733EC"/>
    <w:rsid w:val="00176041"/>
    <w:rsid w:val="001A2A19"/>
    <w:rsid w:val="001E030D"/>
    <w:rsid w:val="001E175D"/>
    <w:rsid w:val="001E17AB"/>
    <w:rsid w:val="001E6835"/>
    <w:rsid w:val="002069AF"/>
    <w:rsid w:val="002127AB"/>
    <w:rsid w:val="00217FA2"/>
    <w:rsid w:val="0023239D"/>
    <w:rsid w:val="002546C6"/>
    <w:rsid w:val="00294F93"/>
    <w:rsid w:val="002961E2"/>
    <w:rsid w:val="002A2F45"/>
    <w:rsid w:val="002A68D3"/>
    <w:rsid w:val="002C23A6"/>
    <w:rsid w:val="002D1AED"/>
    <w:rsid w:val="002D27EE"/>
    <w:rsid w:val="002D2B87"/>
    <w:rsid w:val="002D5D92"/>
    <w:rsid w:val="002D6115"/>
    <w:rsid w:val="002E43A8"/>
    <w:rsid w:val="002E5A7A"/>
    <w:rsid w:val="002F087A"/>
    <w:rsid w:val="00333513"/>
    <w:rsid w:val="00336AFB"/>
    <w:rsid w:val="00336BD5"/>
    <w:rsid w:val="00367FFD"/>
    <w:rsid w:val="00393D4E"/>
    <w:rsid w:val="003A01AB"/>
    <w:rsid w:val="003A52B2"/>
    <w:rsid w:val="003C118D"/>
    <w:rsid w:val="003C324A"/>
    <w:rsid w:val="003E5724"/>
    <w:rsid w:val="003F1EE6"/>
    <w:rsid w:val="00404991"/>
    <w:rsid w:val="00412246"/>
    <w:rsid w:val="00412D78"/>
    <w:rsid w:val="004621C8"/>
    <w:rsid w:val="0047468C"/>
    <w:rsid w:val="00475D52"/>
    <w:rsid w:val="00476852"/>
    <w:rsid w:val="0048247E"/>
    <w:rsid w:val="00483178"/>
    <w:rsid w:val="0049416F"/>
    <w:rsid w:val="00494766"/>
    <w:rsid w:val="00494CEF"/>
    <w:rsid w:val="004A0C38"/>
    <w:rsid w:val="004A10FE"/>
    <w:rsid w:val="004A13E5"/>
    <w:rsid w:val="004B40FC"/>
    <w:rsid w:val="004B684E"/>
    <w:rsid w:val="004B71F5"/>
    <w:rsid w:val="004C6661"/>
    <w:rsid w:val="004C6D3F"/>
    <w:rsid w:val="004C7A88"/>
    <w:rsid w:val="004C7D58"/>
    <w:rsid w:val="004D656A"/>
    <w:rsid w:val="004E0D49"/>
    <w:rsid w:val="004F0E11"/>
    <w:rsid w:val="00500FF9"/>
    <w:rsid w:val="005431AB"/>
    <w:rsid w:val="00562AB2"/>
    <w:rsid w:val="00574250"/>
    <w:rsid w:val="0058308F"/>
    <w:rsid w:val="00586075"/>
    <w:rsid w:val="005A4DB8"/>
    <w:rsid w:val="005A5DDA"/>
    <w:rsid w:val="005B50A1"/>
    <w:rsid w:val="005C0527"/>
    <w:rsid w:val="005D670B"/>
    <w:rsid w:val="005F17A1"/>
    <w:rsid w:val="005F2560"/>
    <w:rsid w:val="005F2F00"/>
    <w:rsid w:val="00615C30"/>
    <w:rsid w:val="00624C07"/>
    <w:rsid w:val="0062611D"/>
    <w:rsid w:val="00626B1E"/>
    <w:rsid w:val="00630E70"/>
    <w:rsid w:val="006840E1"/>
    <w:rsid w:val="00692E91"/>
    <w:rsid w:val="006948EB"/>
    <w:rsid w:val="006C403A"/>
    <w:rsid w:val="006C4CDC"/>
    <w:rsid w:val="006C5D89"/>
    <w:rsid w:val="006D27F5"/>
    <w:rsid w:val="006D6F23"/>
    <w:rsid w:val="006D7A0F"/>
    <w:rsid w:val="006E4258"/>
    <w:rsid w:val="00703FD4"/>
    <w:rsid w:val="00707A1D"/>
    <w:rsid w:val="0071189B"/>
    <w:rsid w:val="00711CAC"/>
    <w:rsid w:val="0075114F"/>
    <w:rsid w:val="007536C4"/>
    <w:rsid w:val="007573B0"/>
    <w:rsid w:val="00771E17"/>
    <w:rsid w:val="00775690"/>
    <w:rsid w:val="007761E5"/>
    <w:rsid w:val="007A34B4"/>
    <w:rsid w:val="007A3703"/>
    <w:rsid w:val="007A5CBC"/>
    <w:rsid w:val="007B60C4"/>
    <w:rsid w:val="007F3A75"/>
    <w:rsid w:val="00812FCF"/>
    <w:rsid w:val="00813F53"/>
    <w:rsid w:val="008247E5"/>
    <w:rsid w:val="00824C1F"/>
    <w:rsid w:val="008372E9"/>
    <w:rsid w:val="008547E9"/>
    <w:rsid w:val="0087018D"/>
    <w:rsid w:val="00874F0F"/>
    <w:rsid w:val="008B37C3"/>
    <w:rsid w:val="008B7A05"/>
    <w:rsid w:val="008C56B3"/>
    <w:rsid w:val="008C61AF"/>
    <w:rsid w:val="008D16CF"/>
    <w:rsid w:val="008F5695"/>
    <w:rsid w:val="008F5EAE"/>
    <w:rsid w:val="00907FD7"/>
    <w:rsid w:val="0091074A"/>
    <w:rsid w:val="00922944"/>
    <w:rsid w:val="0092708B"/>
    <w:rsid w:val="009320B2"/>
    <w:rsid w:val="0093587E"/>
    <w:rsid w:val="00972960"/>
    <w:rsid w:val="00977F15"/>
    <w:rsid w:val="00980A72"/>
    <w:rsid w:val="00993BA5"/>
    <w:rsid w:val="00993ECF"/>
    <w:rsid w:val="009B38B3"/>
    <w:rsid w:val="009B3BE6"/>
    <w:rsid w:val="009D44C5"/>
    <w:rsid w:val="009E78A3"/>
    <w:rsid w:val="00A016ED"/>
    <w:rsid w:val="00A068FE"/>
    <w:rsid w:val="00A22DA8"/>
    <w:rsid w:val="00A37130"/>
    <w:rsid w:val="00A4262D"/>
    <w:rsid w:val="00A626A4"/>
    <w:rsid w:val="00A76D8D"/>
    <w:rsid w:val="00A85347"/>
    <w:rsid w:val="00A919A3"/>
    <w:rsid w:val="00A95D5C"/>
    <w:rsid w:val="00AB09D1"/>
    <w:rsid w:val="00AC7F12"/>
    <w:rsid w:val="00AD4DE1"/>
    <w:rsid w:val="00B10D1E"/>
    <w:rsid w:val="00B10E1E"/>
    <w:rsid w:val="00B319A7"/>
    <w:rsid w:val="00B37270"/>
    <w:rsid w:val="00B42F33"/>
    <w:rsid w:val="00B5423D"/>
    <w:rsid w:val="00B61EDD"/>
    <w:rsid w:val="00B912F1"/>
    <w:rsid w:val="00B93ECF"/>
    <w:rsid w:val="00BC0853"/>
    <w:rsid w:val="00BC5959"/>
    <w:rsid w:val="00BD2CAD"/>
    <w:rsid w:val="00BD524F"/>
    <w:rsid w:val="00BF0A4C"/>
    <w:rsid w:val="00BF2DFA"/>
    <w:rsid w:val="00BF3AC7"/>
    <w:rsid w:val="00BF5EC7"/>
    <w:rsid w:val="00BF6628"/>
    <w:rsid w:val="00C13303"/>
    <w:rsid w:val="00C16FDC"/>
    <w:rsid w:val="00C2545A"/>
    <w:rsid w:val="00C30354"/>
    <w:rsid w:val="00C36DBC"/>
    <w:rsid w:val="00C3749B"/>
    <w:rsid w:val="00C45619"/>
    <w:rsid w:val="00C50801"/>
    <w:rsid w:val="00C51623"/>
    <w:rsid w:val="00C51702"/>
    <w:rsid w:val="00C526A4"/>
    <w:rsid w:val="00C65E87"/>
    <w:rsid w:val="00C80C76"/>
    <w:rsid w:val="00C829B7"/>
    <w:rsid w:val="00C952B0"/>
    <w:rsid w:val="00C95AD0"/>
    <w:rsid w:val="00CA155B"/>
    <w:rsid w:val="00CA40DA"/>
    <w:rsid w:val="00CB20E4"/>
    <w:rsid w:val="00CF0DD6"/>
    <w:rsid w:val="00CF17D1"/>
    <w:rsid w:val="00CF3F8A"/>
    <w:rsid w:val="00D06561"/>
    <w:rsid w:val="00D21B6E"/>
    <w:rsid w:val="00D2786D"/>
    <w:rsid w:val="00D42D5B"/>
    <w:rsid w:val="00D43B8D"/>
    <w:rsid w:val="00D45325"/>
    <w:rsid w:val="00D45724"/>
    <w:rsid w:val="00D45DAD"/>
    <w:rsid w:val="00D55C8E"/>
    <w:rsid w:val="00D7168B"/>
    <w:rsid w:val="00D74BBD"/>
    <w:rsid w:val="00D82AA7"/>
    <w:rsid w:val="00D832F0"/>
    <w:rsid w:val="00D87D73"/>
    <w:rsid w:val="00D93998"/>
    <w:rsid w:val="00D94D3D"/>
    <w:rsid w:val="00DA510A"/>
    <w:rsid w:val="00DB1D53"/>
    <w:rsid w:val="00DE6180"/>
    <w:rsid w:val="00DF2443"/>
    <w:rsid w:val="00E0074C"/>
    <w:rsid w:val="00E02929"/>
    <w:rsid w:val="00E02EAF"/>
    <w:rsid w:val="00E03EAB"/>
    <w:rsid w:val="00E14382"/>
    <w:rsid w:val="00E20D13"/>
    <w:rsid w:val="00E214F0"/>
    <w:rsid w:val="00E22ABB"/>
    <w:rsid w:val="00E300BC"/>
    <w:rsid w:val="00E357A4"/>
    <w:rsid w:val="00E73CB5"/>
    <w:rsid w:val="00E74461"/>
    <w:rsid w:val="00E755F7"/>
    <w:rsid w:val="00EA559E"/>
    <w:rsid w:val="00EB12AC"/>
    <w:rsid w:val="00EB26EA"/>
    <w:rsid w:val="00EB34D3"/>
    <w:rsid w:val="00EB5C0D"/>
    <w:rsid w:val="00EE5138"/>
    <w:rsid w:val="00EF612E"/>
    <w:rsid w:val="00EF7E35"/>
    <w:rsid w:val="00F11D3B"/>
    <w:rsid w:val="00F2209F"/>
    <w:rsid w:val="00F31C01"/>
    <w:rsid w:val="00F35B57"/>
    <w:rsid w:val="00F55422"/>
    <w:rsid w:val="00F569F4"/>
    <w:rsid w:val="00F6534A"/>
    <w:rsid w:val="00F83A0B"/>
    <w:rsid w:val="00F97435"/>
    <w:rsid w:val="00FA1C72"/>
    <w:rsid w:val="00FA40BF"/>
    <w:rsid w:val="00FB563D"/>
    <w:rsid w:val="00FE1334"/>
    <w:rsid w:val="00F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A38F"/>
  <w15:chartTrackingRefBased/>
  <w15:docId w15:val="{45410BF9-53BB-4EE1-80B6-157D8040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526A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5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5D89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7A5C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6D27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6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068FE"/>
  </w:style>
  <w:style w:type="paragraph" w:styleId="a8">
    <w:name w:val="footer"/>
    <w:basedOn w:val="a"/>
    <w:link w:val="a9"/>
    <w:uiPriority w:val="99"/>
    <w:unhideWhenUsed/>
    <w:rsid w:val="00A06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068FE"/>
  </w:style>
  <w:style w:type="paragraph" w:customStyle="1" w:styleId="4">
    <w:name w:val="Знак Знак4 Знак Знак"/>
    <w:basedOn w:val="a"/>
    <w:rsid w:val="001E17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">
    <w:name w:val="Основной текст (3)_"/>
    <w:basedOn w:val="a0"/>
    <w:link w:val="30"/>
    <w:rsid w:val="006C4C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C4CD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4pt">
    <w:name w:val="Основной текст (2) + 14 pt"/>
    <w:basedOn w:val="2"/>
    <w:rsid w:val="006C4CD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C4CDC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6C4CDC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6C4CD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C4C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18942-5BE4-4F76-9253-E1AE7336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2994</Words>
  <Characters>1707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Юлия Олеговна</dc:creator>
  <cp:keywords/>
  <dc:description/>
  <cp:lastModifiedBy>Гаспарян Каріне Аршаківна</cp:lastModifiedBy>
  <cp:revision>5</cp:revision>
  <cp:lastPrinted>2023-04-19T09:56:00Z</cp:lastPrinted>
  <dcterms:created xsi:type="dcterms:W3CDTF">2024-10-29T14:59:00Z</dcterms:created>
  <dcterms:modified xsi:type="dcterms:W3CDTF">2024-10-29T15:10:00Z</dcterms:modified>
</cp:coreProperties>
</file>