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2A48F" w14:textId="77777777" w:rsidR="00575916" w:rsidRPr="002A46D8" w:rsidRDefault="00575916" w:rsidP="005759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uk-UA"/>
        </w:rPr>
      </w:pPr>
      <w:r w:rsidRPr="002A46D8">
        <w:rPr>
          <w:rFonts w:ascii="Times New Roman" w:eastAsia="Arial Unicode MS" w:hAnsi="Times New Roman" w:cs="Times New Roman"/>
          <w:b/>
          <w:sz w:val="28"/>
          <w:szCs w:val="28"/>
          <w:lang w:eastAsia="ru-RU" w:bidi="uk-UA"/>
        </w:rPr>
        <w:t>Обґрунтування</w:t>
      </w:r>
    </w:p>
    <w:p w14:paraId="3B6FF557" w14:textId="42013C5F" w:rsidR="00575916" w:rsidRPr="002A46D8" w:rsidRDefault="008E1AEA" w:rsidP="005759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8"/>
          <w:lang w:eastAsia="ru-RU" w:bidi="uk-UA"/>
        </w:rPr>
      </w:pPr>
      <w:r w:rsidRPr="003C3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технічних та якісних характеристик предмета закупівлі</w:t>
      </w:r>
    </w:p>
    <w:p w14:paraId="5123D9F4" w14:textId="58C23D9E" w:rsidR="00575916" w:rsidRPr="002A46D8" w:rsidRDefault="002A46D8" w:rsidP="0057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2A46D8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Код ДК 021:2015 79710000-4 Охоронні послуги (Послуги з охорони об’єктів ДНДЕКЦ МВС за адресами: просп. Тичини Павла, 26-Г, м. Київ та вул. Львівська, 80, м. Київ)</w:t>
      </w:r>
    </w:p>
    <w:p w14:paraId="676D4D30" w14:textId="77777777" w:rsidR="00575916" w:rsidRPr="002A46D8" w:rsidRDefault="00575916" w:rsidP="0057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</w:pPr>
      <w:r w:rsidRPr="002A46D8"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  <w:t>(назва предмета закупівлі)</w:t>
      </w:r>
    </w:p>
    <w:p w14:paraId="67372BB0" w14:textId="77777777" w:rsidR="00575916" w:rsidRPr="002A46D8" w:rsidRDefault="00575916" w:rsidP="0057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uk-UA"/>
        </w:rPr>
      </w:pPr>
    </w:p>
    <w:p w14:paraId="4A93E570" w14:textId="349193B4" w:rsidR="00575916" w:rsidRPr="002A46D8" w:rsidRDefault="00575916" w:rsidP="0057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2A46D8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 xml:space="preserve">(номер/ ідентифікатор закупівлі </w:t>
      </w:r>
      <w:r w:rsidR="002A46D8" w:rsidRPr="002A46D8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UA-2025-01-14-015188-a</w:t>
      </w:r>
      <w:r w:rsidRPr="002A46D8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)</w:t>
      </w:r>
    </w:p>
    <w:p w14:paraId="3BBCA2AD" w14:textId="26D5E61C" w:rsidR="00035CEE" w:rsidRPr="002A46D8" w:rsidRDefault="00575916" w:rsidP="00575916">
      <w:pPr>
        <w:pStyle w:val="11"/>
        <w:spacing w:after="0" w:line="240" w:lineRule="auto"/>
        <w:ind w:firstLine="0"/>
        <w:jc w:val="center"/>
        <w:rPr>
          <w:iCs/>
          <w:sz w:val="18"/>
          <w:szCs w:val="24"/>
        </w:rPr>
      </w:pPr>
      <w:r w:rsidRPr="002A46D8">
        <w:rPr>
          <w:iCs/>
          <w:sz w:val="18"/>
          <w:szCs w:val="24"/>
        </w:rPr>
        <w:t xml:space="preserve"> </w:t>
      </w:r>
      <w:r w:rsidR="00035CEE" w:rsidRPr="002A46D8">
        <w:rPr>
          <w:iCs/>
          <w:sz w:val="18"/>
          <w:szCs w:val="24"/>
        </w:rPr>
        <w:t>(заповнює відділ закупівель та супроводження договірної роботи)</w:t>
      </w:r>
    </w:p>
    <w:p w14:paraId="3BBCA2AE" w14:textId="77777777" w:rsidR="00035CEE" w:rsidRPr="002A46D8" w:rsidRDefault="00035CEE" w:rsidP="00035CEE">
      <w:pPr>
        <w:pStyle w:val="11"/>
        <w:spacing w:after="0" w:line="240" w:lineRule="auto"/>
        <w:ind w:firstLine="0"/>
        <w:jc w:val="center"/>
        <w:rPr>
          <w:iCs/>
          <w:sz w:val="24"/>
          <w:szCs w:val="24"/>
        </w:rPr>
      </w:pPr>
    </w:p>
    <w:p w14:paraId="632FD3FF" w14:textId="77777777" w:rsidR="00575916" w:rsidRPr="002A46D8" w:rsidRDefault="00035CEE" w:rsidP="00575916">
      <w:pPr>
        <w:pStyle w:val="11"/>
        <w:spacing w:after="0" w:line="240" w:lineRule="auto"/>
        <w:ind w:firstLine="567"/>
        <w:jc w:val="both"/>
        <w:rPr>
          <w:sz w:val="24"/>
          <w:szCs w:val="24"/>
        </w:rPr>
      </w:pPr>
      <w:r w:rsidRPr="002A46D8">
        <w:rPr>
          <w:sz w:val="24"/>
          <w:szCs w:val="24"/>
        </w:rPr>
        <w:t>Технічні та якісні характеристики предмета закупівлі та їх обґрунтування щодо позиції</w:t>
      </w:r>
      <w:r w:rsidR="007E724D" w:rsidRPr="002A46D8">
        <w:rPr>
          <w:sz w:val="24"/>
          <w:szCs w:val="24"/>
        </w:rPr>
        <w:t xml:space="preserve">/позицій </w:t>
      </w:r>
      <w:r w:rsidRPr="002A46D8">
        <w:rPr>
          <w:sz w:val="24"/>
          <w:szCs w:val="24"/>
        </w:rPr>
        <w:t>предмета закупівлі:</w:t>
      </w:r>
    </w:p>
    <w:p w14:paraId="3BBCA2B2" w14:textId="77777777" w:rsidR="00035CEE" w:rsidRPr="002A46D8" w:rsidRDefault="00035CEE" w:rsidP="00035CEE">
      <w:pPr>
        <w:pStyle w:val="11"/>
        <w:spacing w:after="0" w:line="240" w:lineRule="auto"/>
        <w:ind w:firstLine="709"/>
        <w:jc w:val="center"/>
        <w:rPr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21"/>
        <w:gridCol w:w="2551"/>
        <w:gridCol w:w="2552"/>
        <w:gridCol w:w="4819"/>
      </w:tblGrid>
      <w:tr w:rsidR="00035CEE" w:rsidRPr="002A46D8" w14:paraId="3BBCA2B7" w14:textId="77777777" w:rsidTr="005D1164">
        <w:trPr>
          <w:trHeight w:val="616"/>
          <w:tblHeader/>
        </w:trPr>
        <w:tc>
          <w:tcPr>
            <w:tcW w:w="421" w:type="dxa"/>
            <w:vAlign w:val="center"/>
          </w:tcPr>
          <w:p w14:paraId="3BBCA2B3" w14:textId="77777777" w:rsidR="00035CEE" w:rsidRPr="002A46D8" w:rsidRDefault="00035CEE" w:rsidP="005D1164">
            <w:pPr>
              <w:pStyle w:val="11"/>
              <w:spacing w:after="0" w:line="240" w:lineRule="auto"/>
              <w:ind w:left="-120" w:right="-15" w:firstLine="7"/>
              <w:jc w:val="center"/>
              <w:rPr>
                <w:sz w:val="22"/>
                <w:szCs w:val="24"/>
              </w:rPr>
            </w:pPr>
            <w:r w:rsidRPr="002A46D8">
              <w:rPr>
                <w:sz w:val="22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14:paraId="3BBCA2B4" w14:textId="77777777" w:rsidR="00035CEE" w:rsidRPr="002A46D8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2A46D8">
              <w:rPr>
                <w:sz w:val="22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2552" w:type="dxa"/>
            <w:vAlign w:val="center"/>
          </w:tcPr>
          <w:p w14:paraId="3BBCA2B5" w14:textId="77777777" w:rsidR="00035CEE" w:rsidRPr="002A46D8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2A46D8">
              <w:rPr>
                <w:sz w:val="22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4819" w:type="dxa"/>
            <w:vAlign w:val="center"/>
          </w:tcPr>
          <w:p w14:paraId="3BBCA2B6" w14:textId="77777777" w:rsidR="00035CEE" w:rsidRPr="002A46D8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2A46D8">
              <w:rPr>
                <w:sz w:val="22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035CEE" w:rsidRPr="002A46D8" w14:paraId="3BBCA2BC" w14:textId="77777777" w:rsidTr="005D1164">
        <w:trPr>
          <w:trHeight w:val="139"/>
          <w:tblHeader/>
        </w:trPr>
        <w:tc>
          <w:tcPr>
            <w:tcW w:w="421" w:type="dxa"/>
            <w:vAlign w:val="center"/>
          </w:tcPr>
          <w:p w14:paraId="3BBCA2B8" w14:textId="77777777" w:rsidR="00035CEE" w:rsidRPr="002A46D8" w:rsidRDefault="00035CEE" w:rsidP="005D1164">
            <w:pPr>
              <w:pStyle w:val="11"/>
              <w:spacing w:after="0" w:line="240" w:lineRule="auto"/>
              <w:ind w:left="-120" w:right="-15" w:firstLine="7"/>
              <w:jc w:val="center"/>
              <w:rPr>
                <w:sz w:val="22"/>
                <w:szCs w:val="24"/>
              </w:rPr>
            </w:pPr>
            <w:r w:rsidRPr="002A46D8">
              <w:rPr>
                <w:sz w:val="22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3BBCA2B9" w14:textId="77777777" w:rsidR="00035CEE" w:rsidRPr="002A46D8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2A46D8">
              <w:rPr>
                <w:sz w:val="22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3BBCA2BA" w14:textId="77777777" w:rsidR="00035CEE" w:rsidRPr="002A46D8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2A46D8">
              <w:rPr>
                <w:sz w:val="22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3BBCA2BB" w14:textId="77777777" w:rsidR="00035CEE" w:rsidRPr="002A46D8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2A46D8">
              <w:rPr>
                <w:sz w:val="22"/>
                <w:szCs w:val="24"/>
              </w:rPr>
              <w:t>4</w:t>
            </w:r>
          </w:p>
        </w:tc>
      </w:tr>
      <w:tr w:rsidR="00BB4782" w:rsidRPr="002A46D8" w14:paraId="3BBCA2C3" w14:textId="77777777" w:rsidTr="005D1164">
        <w:trPr>
          <w:trHeight w:val="134"/>
        </w:trPr>
        <w:tc>
          <w:tcPr>
            <w:tcW w:w="421" w:type="dxa"/>
            <w:vAlign w:val="center"/>
          </w:tcPr>
          <w:p w14:paraId="3BBCA2BD" w14:textId="77777777" w:rsidR="00BB4782" w:rsidRPr="002A46D8" w:rsidRDefault="00BB4782" w:rsidP="005D1164">
            <w:pPr>
              <w:pStyle w:val="a9"/>
              <w:ind w:left="-120" w:right="-15" w:firstLine="7"/>
              <w:rPr>
                <w:sz w:val="22"/>
                <w:szCs w:val="24"/>
              </w:rPr>
            </w:pPr>
            <w:r w:rsidRPr="002A46D8"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3BBCA2BF" w14:textId="7D89A91B" w:rsidR="00BB4782" w:rsidRPr="002A46D8" w:rsidRDefault="00BB4782" w:rsidP="005D1164">
            <w:pPr>
              <w:pStyle w:val="a9"/>
              <w:rPr>
                <w:sz w:val="22"/>
                <w:szCs w:val="24"/>
              </w:rPr>
            </w:pPr>
            <w:r w:rsidRPr="002A46D8">
              <w:rPr>
                <w:color w:val="000000"/>
                <w:sz w:val="22"/>
                <w:szCs w:val="24"/>
              </w:rPr>
              <w:t>Режим чергування фізичної охорони об’єкт</w:t>
            </w:r>
            <w:r w:rsidR="005D1164">
              <w:rPr>
                <w:color w:val="000000"/>
                <w:sz w:val="22"/>
                <w:szCs w:val="24"/>
              </w:rPr>
              <w:t>ів</w:t>
            </w:r>
          </w:p>
        </w:tc>
        <w:tc>
          <w:tcPr>
            <w:tcW w:w="2552" w:type="dxa"/>
            <w:vAlign w:val="center"/>
          </w:tcPr>
          <w:p w14:paraId="3BBCA2C0" w14:textId="77777777" w:rsidR="00BB4782" w:rsidRPr="002A46D8" w:rsidRDefault="00BB4782" w:rsidP="00BB4782">
            <w:pPr>
              <w:pStyle w:val="a9"/>
              <w:rPr>
                <w:sz w:val="22"/>
                <w:szCs w:val="24"/>
              </w:rPr>
            </w:pPr>
            <w:r w:rsidRPr="002A46D8">
              <w:rPr>
                <w:color w:val="000000"/>
                <w:sz w:val="22"/>
                <w:szCs w:val="24"/>
              </w:rPr>
              <w:t>Цілодобова охорона об’єкта</w:t>
            </w:r>
          </w:p>
        </w:tc>
        <w:tc>
          <w:tcPr>
            <w:tcW w:w="4819" w:type="dxa"/>
            <w:vAlign w:val="center"/>
          </w:tcPr>
          <w:p w14:paraId="3BBCA2C2" w14:textId="54DD72F8" w:rsidR="00BB4782" w:rsidRPr="002A46D8" w:rsidRDefault="00BB4782" w:rsidP="005D1164">
            <w:pPr>
              <w:pStyle w:val="a9"/>
              <w:tabs>
                <w:tab w:val="left" w:pos="1046"/>
                <w:tab w:val="left" w:pos="2040"/>
              </w:tabs>
              <w:jc w:val="both"/>
              <w:rPr>
                <w:sz w:val="22"/>
                <w:szCs w:val="24"/>
              </w:rPr>
            </w:pPr>
            <w:r w:rsidRPr="002A46D8">
              <w:rPr>
                <w:color w:val="000000"/>
                <w:sz w:val="22"/>
                <w:szCs w:val="24"/>
              </w:rPr>
              <w:t xml:space="preserve">Забезпечення охорони </w:t>
            </w:r>
            <w:r w:rsidR="005D1164">
              <w:rPr>
                <w:color w:val="000000"/>
                <w:sz w:val="22"/>
                <w:szCs w:val="24"/>
              </w:rPr>
              <w:t>будівель</w:t>
            </w:r>
            <w:r w:rsidR="009B6575">
              <w:rPr>
                <w:color w:val="000000"/>
                <w:sz w:val="22"/>
                <w:szCs w:val="24"/>
              </w:rPr>
              <w:t xml:space="preserve"> та території</w:t>
            </w:r>
            <w:r w:rsidR="005D1164">
              <w:rPr>
                <w:color w:val="000000"/>
                <w:sz w:val="22"/>
                <w:szCs w:val="24"/>
              </w:rPr>
              <w:t xml:space="preserve"> ДНДЕКЦ</w:t>
            </w:r>
            <w:r w:rsidR="003B45C6">
              <w:rPr>
                <w:color w:val="000000"/>
                <w:sz w:val="22"/>
                <w:szCs w:val="24"/>
              </w:rPr>
              <w:t xml:space="preserve"> МВС</w:t>
            </w:r>
            <w:r w:rsidR="005D1164">
              <w:rPr>
                <w:color w:val="000000"/>
                <w:sz w:val="22"/>
                <w:szCs w:val="24"/>
              </w:rPr>
              <w:t>, а саме</w:t>
            </w:r>
            <w:r w:rsidR="00515538">
              <w:rPr>
                <w:color w:val="000000"/>
                <w:sz w:val="22"/>
                <w:szCs w:val="24"/>
              </w:rPr>
              <w:t>:</w:t>
            </w:r>
            <w:r w:rsidR="005D1164">
              <w:rPr>
                <w:color w:val="000000"/>
                <w:sz w:val="22"/>
                <w:szCs w:val="24"/>
              </w:rPr>
              <w:t xml:space="preserve"> </w:t>
            </w:r>
            <w:r w:rsidR="00513DB6">
              <w:rPr>
                <w:color w:val="000000"/>
                <w:sz w:val="22"/>
                <w:szCs w:val="24"/>
              </w:rPr>
              <w:t xml:space="preserve">за адресою </w:t>
            </w:r>
            <w:r w:rsidR="00513DB6" w:rsidRPr="00513DB6">
              <w:rPr>
                <w:color w:val="000000"/>
                <w:sz w:val="22"/>
                <w:szCs w:val="24"/>
              </w:rPr>
              <w:t>просп. Тичини Павла, 26-Г, м. Київ</w:t>
            </w:r>
            <w:r w:rsidR="00513DB6">
              <w:rPr>
                <w:color w:val="000000"/>
                <w:sz w:val="22"/>
                <w:szCs w:val="24"/>
              </w:rPr>
              <w:t xml:space="preserve"> - </w:t>
            </w:r>
            <w:r w:rsidR="005D1164" w:rsidRPr="005D1164">
              <w:rPr>
                <w:color w:val="000000"/>
                <w:sz w:val="22"/>
                <w:szCs w:val="24"/>
              </w:rPr>
              <w:t>2 будівлі (одна адмінбудівля площею: 468,3 кв. м., та гараж площею: 150,6 кв. м.)</w:t>
            </w:r>
            <w:r w:rsidR="009B6575">
              <w:rPr>
                <w:color w:val="000000"/>
                <w:sz w:val="22"/>
                <w:szCs w:val="24"/>
              </w:rPr>
              <w:t>;</w:t>
            </w:r>
            <w:r w:rsidR="005D1164">
              <w:rPr>
                <w:color w:val="000000"/>
                <w:sz w:val="22"/>
                <w:szCs w:val="24"/>
              </w:rPr>
              <w:t xml:space="preserve"> </w:t>
            </w:r>
            <w:r w:rsidR="00513DB6">
              <w:rPr>
                <w:color w:val="000000"/>
                <w:sz w:val="22"/>
                <w:szCs w:val="24"/>
              </w:rPr>
              <w:t xml:space="preserve">за адресою </w:t>
            </w:r>
            <w:r w:rsidR="00513DB6" w:rsidRPr="00513DB6">
              <w:rPr>
                <w:color w:val="000000"/>
                <w:sz w:val="22"/>
                <w:szCs w:val="24"/>
              </w:rPr>
              <w:t>вул. Львівська, 80, м. Київ</w:t>
            </w:r>
            <w:r w:rsidR="00513DB6">
              <w:rPr>
                <w:color w:val="000000"/>
                <w:sz w:val="22"/>
                <w:szCs w:val="24"/>
              </w:rPr>
              <w:t xml:space="preserve"> - </w:t>
            </w:r>
            <w:r w:rsidR="009B6575" w:rsidRPr="009B6575">
              <w:rPr>
                <w:color w:val="000000"/>
                <w:sz w:val="22"/>
                <w:szCs w:val="24"/>
              </w:rPr>
              <w:t xml:space="preserve">територія площею 0.6896 га та розташовані на ній 6 будівель (три адмінбудівлі площею: 188,4, 24,5, 128,8 кв. м., два гаража площею: 82,3, 72,2 кв. м.; альтанка) та </w:t>
            </w:r>
            <w:proofErr w:type="spellStart"/>
            <w:r w:rsidR="009B6575" w:rsidRPr="009B6575">
              <w:rPr>
                <w:color w:val="000000"/>
                <w:sz w:val="22"/>
                <w:szCs w:val="24"/>
              </w:rPr>
              <w:t>битовка</w:t>
            </w:r>
            <w:proofErr w:type="spellEnd"/>
            <w:r w:rsidR="009B6575" w:rsidRPr="009B6575">
              <w:rPr>
                <w:color w:val="000000"/>
                <w:sz w:val="22"/>
                <w:szCs w:val="24"/>
              </w:rPr>
              <w:t xml:space="preserve"> з навісом</w:t>
            </w:r>
            <w:r w:rsidRPr="002A46D8">
              <w:rPr>
                <w:color w:val="000000"/>
                <w:sz w:val="22"/>
                <w:szCs w:val="24"/>
              </w:rPr>
              <w:t>, які</w:t>
            </w:r>
            <w:r w:rsidR="005D1164">
              <w:rPr>
                <w:color w:val="000000"/>
                <w:sz w:val="22"/>
                <w:szCs w:val="24"/>
              </w:rPr>
              <w:t xml:space="preserve"> </w:t>
            </w:r>
            <w:r w:rsidRPr="002A46D8">
              <w:rPr>
                <w:color w:val="000000"/>
                <w:sz w:val="22"/>
                <w:szCs w:val="24"/>
              </w:rPr>
              <w:t>не</w:t>
            </w:r>
            <w:r w:rsidR="005D1164">
              <w:rPr>
                <w:color w:val="000000"/>
                <w:sz w:val="22"/>
                <w:szCs w:val="24"/>
              </w:rPr>
              <w:t xml:space="preserve"> </w:t>
            </w:r>
            <w:r w:rsidRPr="002A46D8">
              <w:rPr>
                <w:color w:val="000000"/>
                <w:sz w:val="22"/>
                <w:szCs w:val="24"/>
              </w:rPr>
              <w:t>обладнані</w:t>
            </w:r>
            <w:r w:rsidR="005D1164">
              <w:rPr>
                <w:color w:val="000000"/>
                <w:sz w:val="22"/>
                <w:szCs w:val="24"/>
              </w:rPr>
              <w:t xml:space="preserve"> </w:t>
            </w:r>
            <w:r w:rsidRPr="002A46D8">
              <w:rPr>
                <w:color w:val="000000"/>
                <w:sz w:val="22"/>
                <w:szCs w:val="24"/>
              </w:rPr>
              <w:t>охоронною сигналізацією</w:t>
            </w:r>
          </w:p>
        </w:tc>
      </w:tr>
      <w:tr w:rsidR="00BB4782" w:rsidRPr="002A46D8" w14:paraId="3BBCA2CB" w14:textId="77777777" w:rsidTr="005D1164">
        <w:trPr>
          <w:trHeight w:val="134"/>
        </w:trPr>
        <w:tc>
          <w:tcPr>
            <w:tcW w:w="421" w:type="dxa"/>
            <w:vAlign w:val="center"/>
          </w:tcPr>
          <w:p w14:paraId="3BBCA2C4" w14:textId="77777777" w:rsidR="00BB4782" w:rsidRPr="002A46D8" w:rsidRDefault="00BB4782" w:rsidP="005D1164">
            <w:pPr>
              <w:pStyle w:val="a9"/>
              <w:ind w:left="-120" w:right="-15" w:firstLine="7"/>
              <w:rPr>
                <w:sz w:val="22"/>
                <w:szCs w:val="24"/>
              </w:rPr>
            </w:pPr>
            <w:r w:rsidRPr="002A46D8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3BBCA2C5" w14:textId="406ED5F4" w:rsidR="00BB4782" w:rsidRPr="002A46D8" w:rsidRDefault="00BB4782" w:rsidP="00BB4782">
            <w:pPr>
              <w:pStyle w:val="a9"/>
              <w:rPr>
                <w:sz w:val="22"/>
                <w:szCs w:val="24"/>
              </w:rPr>
            </w:pPr>
            <w:r w:rsidRPr="002A46D8">
              <w:rPr>
                <w:color w:val="000000"/>
                <w:sz w:val="22"/>
                <w:szCs w:val="24"/>
              </w:rPr>
              <w:t>Кількість охоронників</w:t>
            </w:r>
            <w:r w:rsidR="00513DB6">
              <w:rPr>
                <w:color w:val="000000"/>
                <w:sz w:val="22"/>
                <w:szCs w:val="24"/>
              </w:rPr>
              <w:t xml:space="preserve"> на 2 об’єкти</w:t>
            </w:r>
          </w:p>
        </w:tc>
        <w:tc>
          <w:tcPr>
            <w:tcW w:w="2552" w:type="dxa"/>
            <w:vAlign w:val="center"/>
          </w:tcPr>
          <w:p w14:paraId="3BBCA2C6" w14:textId="33F7EB3C" w:rsidR="00BB4782" w:rsidRPr="002A46D8" w:rsidRDefault="00BB4782" w:rsidP="00BB4782">
            <w:pPr>
              <w:pStyle w:val="a9"/>
              <w:rPr>
                <w:sz w:val="22"/>
                <w:szCs w:val="24"/>
              </w:rPr>
            </w:pPr>
            <w:r w:rsidRPr="002A46D8">
              <w:rPr>
                <w:color w:val="000000"/>
                <w:sz w:val="22"/>
                <w:szCs w:val="24"/>
              </w:rPr>
              <w:t>охоронник</w:t>
            </w:r>
            <w:r w:rsidR="00513DB6">
              <w:rPr>
                <w:color w:val="000000"/>
                <w:sz w:val="22"/>
                <w:szCs w:val="24"/>
              </w:rPr>
              <w:t>и</w:t>
            </w:r>
          </w:p>
        </w:tc>
        <w:tc>
          <w:tcPr>
            <w:tcW w:w="4819" w:type="dxa"/>
            <w:vAlign w:val="center"/>
          </w:tcPr>
          <w:p w14:paraId="3BBCA2CA" w14:textId="54376664" w:rsidR="00BB4782" w:rsidRPr="002A46D8" w:rsidRDefault="00BB4782" w:rsidP="005D1164">
            <w:pPr>
              <w:pStyle w:val="a9"/>
              <w:tabs>
                <w:tab w:val="left" w:pos="1450"/>
                <w:tab w:val="right" w:pos="3211"/>
              </w:tabs>
              <w:jc w:val="both"/>
              <w:rPr>
                <w:sz w:val="22"/>
                <w:szCs w:val="24"/>
              </w:rPr>
            </w:pPr>
            <w:r w:rsidRPr="002A46D8">
              <w:rPr>
                <w:color w:val="000000"/>
                <w:sz w:val="22"/>
                <w:szCs w:val="24"/>
              </w:rPr>
              <w:t>3 метою дотримання Кодексу законів про працю</w:t>
            </w:r>
            <w:r w:rsidR="005D1164">
              <w:rPr>
                <w:color w:val="000000"/>
                <w:sz w:val="22"/>
                <w:szCs w:val="24"/>
              </w:rPr>
              <w:t xml:space="preserve"> </w:t>
            </w:r>
            <w:r w:rsidRPr="002A46D8">
              <w:rPr>
                <w:color w:val="000000"/>
                <w:sz w:val="22"/>
                <w:szCs w:val="24"/>
              </w:rPr>
              <w:t>України</w:t>
            </w:r>
            <w:r w:rsidR="005D1164">
              <w:rPr>
                <w:color w:val="000000"/>
                <w:sz w:val="22"/>
                <w:szCs w:val="24"/>
              </w:rPr>
              <w:t xml:space="preserve"> </w:t>
            </w:r>
            <w:r w:rsidRPr="002A46D8">
              <w:rPr>
                <w:color w:val="000000"/>
                <w:sz w:val="22"/>
                <w:szCs w:val="24"/>
              </w:rPr>
              <w:t>з</w:t>
            </w:r>
            <w:r w:rsidR="005D1164">
              <w:rPr>
                <w:color w:val="000000"/>
                <w:sz w:val="22"/>
                <w:szCs w:val="24"/>
              </w:rPr>
              <w:t xml:space="preserve"> </w:t>
            </w:r>
            <w:r w:rsidRPr="002A46D8">
              <w:rPr>
                <w:color w:val="000000"/>
                <w:sz w:val="22"/>
                <w:szCs w:val="24"/>
              </w:rPr>
              <w:t>урахуванням часу на відпочинок,</w:t>
            </w:r>
            <w:r w:rsidR="005D1164">
              <w:rPr>
                <w:color w:val="000000"/>
                <w:sz w:val="22"/>
                <w:szCs w:val="24"/>
              </w:rPr>
              <w:t xml:space="preserve"> </w:t>
            </w:r>
            <w:r w:rsidRPr="002A46D8">
              <w:rPr>
                <w:color w:val="000000"/>
                <w:sz w:val="22"/>
                <w:szCs w:val="24"/>
              </w:rPr>
              <w:t>для</w:t>
            </w:r>
            <w:r w:rsidR="005D1164">
              <w:rPr>
                <w:color w:val="000000"/>
                <w:sz w:val="22"/>
                <w:szCs w:val="24"/>
              </w:rPr>
              <w:t xml:space="preserve"> </w:t>
            </w:r>
            <w:r w:rsidRPr="002A46D8">
              <w:rPr>
                <w:color w:val="000000"/>
                <w:sz w:val="22"/>
                <w:szCs w:val="24"/>
              </w:rPr>
              <w:t>забезпечення</w:t>
            </w:r>
            <w:r w:rsidR="005D1164">
              <w:rPr>
                <w:color w:val="000000"/>
                <w:sz w:val="22"/>
                <w:szCs w:val="24"/>
              </w:rPr>
              <w:t xml:space="preserve"> </w:t>
            </w:r>
            <w:r w:rsidRPr="002A46D8">
              <w:rPr>
                <w:color w:val="000000"/>
                <w:sz w:val="22"/>
                <w:szCs w:val="24"/>
              </w:rPr>
              <w:t>охорони</w:t>
            </w:r>
            <w:r w:rsidR="005D1164">
              <w:rPr>
                <w:color w:val="000000"/>
                <w:sz w:val="22"/>
                <w:szCs w:val="24"/>
              </w:rPr>
              <w:t xml:space="preserve"> </w:t>
            </w:r>
            <w:r w:rsidRPr="002A46D8">
              <w:rPr>
                <w:color w:val="000000"/>
                <w:sz w:val="22"/>
                <w:szCs w:val="24"/>
              </w:rPr>
              <w:t>об’єкт</w:t>
            </w:r>
            <w:r w:rsidR="007E4E5C">
              <w:rPr>
                <w:color w:val="000000"/>
                <w:sz w:val="22"/>
                <w:szCs w:val="24"/>
              </w:rPr>
              <w:t>ів</w:t>
            </w:r>
            <w:r w:rsidRPr="002A46D8">
              <w:rPr>
                <w:color w:val="000000"/>
                <w:sz w:val="22"/>
                <w:szCs w:val="24"/>
              </w:rPr>
              <w:t xml:space="preserve"> </w:t>
            </w:r>
            <w:r w:rsidR="00513DB6">
              <w:rPr>
                <w:color w:val="000000"/>
                <w:sz w:val="22"/>
                <w:szCs w:val="24"/>
              </w:rPr>
              <w:t>– відповідно до розрахунку</w:t>
            </w:r>
          </w:p>
        </w:tc>
      </w:tr>
      <w:tr w:rsidR="00BB4782" w:rsidRPr="002A46D8" w14:paraId="3BBCA2D1" w14:textId="77777777" w:rsidTr="005D1164">
        <w:trPr>
          <w:trHeight w:val="134"/>
        </w:trPr>
        <w:tc>
          <w:tcPr>
            <w:tcW w:w="421" w:type="dxa"/>
            <w:vAlign w:val="center"/>
          </w:tcPr>
          <w:p w14:paraId="3BBCA2CC" w14:textId="77777777" w:rsidR="00BB4782" w:rsidRPr="002A46D8" w:rsidRDefault="00BB4782" w:rsidP="005D1164">
            <w:pPr>
              <w:pStyle w:val="a9"/>
              <w:ind w:left="-120" w:right="-15" w:firstLine="7"/>
              <w:rPr>
                <w:sz w:val="22"/>
                <w:szCs w:val="24"/>
              </w:rPr>
            </w:pPr>
            <w:r w:rsidRPr="002A46D8"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3BBCA2CD" w14:textId="50A65832" w:rsidR="00BB4782" w:rsidRPr="002A46D8" w:rsidRDefault="00BB4782" w:rsidP="00BB4782">
            <w:pPr>
              <w:pStyle w:val="a9"/>
              <w:rPr>
                <w:sz w:val="22"/>
                <w:szCs w:val="24"/>
              </w:rPr>
            </w:pPr>
            <w:r w:rsidRPr="002A46D8">
              <w:rPr>
                <w:color w:val="000000"/>
                <w:sz w:val="22"/>
                <w:szCs w:val="24"/>
              </w:rPr>
              <w:t>Наявність службової собаки</w:t>
            </w:r>
            <w:r w:rsidR="00D02785">
              <w:rPr>
                <w:color w:val="000000"/>
                <w:sz w:val="22"/>
                <w:szCs w:val="24"/>
              </w:rPr>
              <w:t xml:space="preserve"> (за адресою: </w:t>
            </w:r>
            <w:r w:rsidR="00D02785" w:rsidRPr="00D02785">
              <w:rPr>
                <w:color w:val="000000"/>
                <w:sz w:val="22"/>
                <w:szCs w:val="24"/>
              </w:rPr>
              <w:t>вул. Львівська, 80, м. Київ</w:t>
            </w:r>
            <w:r w:rsidR="00D02785">
              <w:rPr>
                <w:color w:val="000000"/>
                <w:sz w:val="22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3BBCA2CE" w14:textId="77777777" w:rsidR="00BB4782" w:rsidRPr="002A46D8" w:rsidRDefault="00BB4782" w:rsidP="00BB4782">
            <w:pPr>
              <w:pStyle w:val="a9"/>
              <w:rPr>
                <w:sz w:val="22"/>
                <w:szCs w:val="24"/>
              </w:rPr>
            </w:pPr>
            <w:r w:rsidRPr="002A46D8">
              <w:rPr>
                <w:color w:val="000000"/>
                <w:sz w:val="22"/>
                <w:szCs w:val="24"/>
              </w:rPr>
              <w:t>1 службова собака</w:t>
            </w:r>
          </w:p>
        </w:tc>
        <w:tc>
          <w:tcPr>
            <w:tcW w:w="4819" w:type="dxa"/>
            <w:vAlign w:val="center"/>
          </w:tcPr>
          <w:p w14:paraId="3BBCA2D0" w14:textId="70159B1D" w:rsidR="00BB4782" w:rsidRPr="002A46D8" w:rsidRDefault="00BB4782" w:rsidP="005D1164">
            <w:pPr>
              <w:pStyle w:val="a9"/>
              <w:tabs>
                <w:tab w:val="left" w:pos="2923"/>
              </w:tabs>
              <w:jc w:val="both"/>
              <w:rPr>
                <w:sz w:val="22"/>
                <w:szCs w:val="24"/>
              </w:rPr>
            </w:pPr>
            <w:r w:rsidRPr="002A46D8">
              <w:rPr>
                <w:color w:val="000000"/>
                <w:sz w:val="22"/>
                <w:szCs w:val="24"/>
              </w:rPr>
              <w:t>У нічний час собака переміщується</w:t>
            </w:r>
            <w:r w:rsidR="005D1164">
              <w:rPr>
                <w:color w:val="000000"/>
                <w:sz w:val="22"/>
                <w:szCs w:val="24"/>
              </w:rPr>
              <w:t xml:space="preserve"> </w:t>
            </w:r>
            <w:r w:rsidRPr="002A46D8">
              <w:rPr>
                <w:color w:val="000000"/>
                <w:sz w:val="22"/>
                <w:szCs w:val="24"/>
              </w:rPr>
              <w:t>по</w:t>
            </w:r>
            <w:r w:rsidR="005D1164">
              <w:rPr>
                <w:color w:val="000000"/>
                <w:sz w:val="22"/>
                <w:szCs w:val="24"/>
              </w:rPr>
              <w:t xml:space="preserve"> </w:t>
            </w:r>
            <w:r w:rsidRPr="002A46D8">
              <w:rPr>
                <w:color w:val="000000"/>
                <w:sz w:val="22"/>
                <w:szCs w:val="24"/>
              </w:rPr>
              <w:t>території для запобігання спроб несанкціонованого доступу на об’єкт</w:t>
            </w:r>
          </w:p>
        </w:tc>
      </w:tr>
      <w:tr w:rsidR="00BB4782" w:rsidRPr="002A46D8" w14:paraId="3BBCA2D6" w14:textId="77777777" w:rsidTr="005D1164">
        <w:trPr>
          <w:trHeight w:val="134"/>
        </w:trPr>
        <w:tc>
          <w:tcPr>
            <w:tcW w:w="421" w:type="dxa"/>
            <w:vAlign w:val="center"/>
          </w:tcPr>
          <w:p w14:paraId="3BBCA2D2" w14:textId="77777777" w:rsidR="00BB4782" w:rsidRPr="002A46D8" w:rsidRDefault="00BB4782" w:rsidP="005D1164">
            <w:pPr>
              <w:pStyle w:val="a9"/>
              <w:ind w:left="-120" w:right="-15" w:firstLine="7"/>
              <w:rPr>
                <w:sz w:val="22"/>
                <w:szCs w:val="24"/>
              </w:rPr>
            </w:pPr>
            <w:r w:rsidRPr="002A46D8"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3BBCA2D3" w14:textId="77777777" w:rsidR="00BB4782" w:rsidRPr="002A46D8" w:rsidRDefault="00BB4782" w:rsidP="00BB4782">
            <w:pPr>
              <w:pStyle w:val="a9"/>
              <w:rPr>
                <w:sz w:val="22"/>
                <w:szCs w:val="24"/>
              </w:rPr>
            </w:pPr>
            <w:r w:rsidRPr="002A46D8">
              <w:rPr>
                <w:color w:val="000000"/>
                <w:sz w:val="22"/>
                <w:szCs w:val="24"/>
              </w:rPr>
              <w:t>Охоронники повинні бути забезпечені форменим одягом</w:t>
            </w:r>
          </w:p>
        </w:tc>
        <w:tc>
          <w:tcPr>
            <w:tcW w:w="2552" w:type="dxa"/>
            <w:vAlign w:val="center"/>
          </w:tcPr>
          <w:p w14:paraId="3BBCA2D4" w14:textId="61100B64" w:rsidR="00BB4782" w:rsidRPr="002A46D8" w:rsidRDefault="00BB4782" w:rsidP="00BB4782">
            <w:pPr>
              <w:pStyle w:val="a9"/>
              <w:rPr>
                <w:sz w:val="22"/>
                <w:szCs w:val="24"/>
              </w:rPr>
            </w:pPr>
            <w:r w:rsidRPr="002A46D8">
              <w:rPr>
                <w:color w:val="000000"/>
                <w:sz w:val="22"/>
                <w:szCs w:val="24"/>
              </w:rPr>
              <w:t>Комплект</w:t>
            </w:r>
            <w:r w:rsidR="005D1164">
              <w:rPr>
                <w:color w:val="000000"/>
                <w:sz w:val="22"/>
                <w:szCs w:val="24"/>
              </w:rPr>
              <w:t>и</w:t>
            </w:r>
            <w:r w:rsidRPr="002A46D8">
              <w:rPr>
                <w:color w:val="000000"/>
                <w:sz w:val="22"/>
                <w:szCs w:val="24"/>
              </w:rPr>
              <w:t xml:space="preserve"> літнього та зимового одягу</w:t>
            </w:r>
            <w:r w:rsidR="005D1164">
              <w:rPr>
                <w:color w:val="000000"/>
                <w:sz w:val="22"/>
                <w:szCs w:val="24"/>
              </w:rPr>
              <w:t xml:space="preserve"> на кожного охоронника</w:t>
            </w:r>
          </w:p>
        </w:tc>
        <w:tc>
          <w:tcPr>
            <w:tcW w:w="4819" w:type="dxa"/>
            <w:vAlign w:val="center"/>
          </w:tcPr>
          <w:p w14:paraId="3BBCA2D5" w14:textId="77777777" w:rsidR="00BB4782" w:rsidRPr="002A46D8" w:rsidRDefault="00BB4782" w:rsidP="005D1164">
            <w:pPr>
              <w:pStyle w:val="a9"/>
              <w:jc w:val="both"/>
              <w:rPr>
                <w:sz w:val="22"/>
                <w:szCs w:val="24"/>
              </w:rPr>
            </w:pPr>
            <w:r w:rsidRPr="002A46D8">
              <w:rPr>
                <w:color w:val="000000"/>
                <w:sz w:val="22"/>
                <w:szCs w:val="24"/>
              </w:rPr>
              <w:t>Охоронники повинні бути забезпечені форменим одягом з метою розпізнавання суб’єкта</w:t>
            </w:r>
          </w:p>
        </w:tc>
      </w:tr>
      <w:tr w:rsidR="00BB4782" w:rsidRPr="002A46D8" w14:paraId="3BBCA2DC" w14:textId="77777777" w:rsidTr="005D1164">
        <w:trPr>
          <w:trHeight w:val="134"/>
        </w:trPr>
        <w:tc>
          <w:tcPr>
            <w:tcW w:w="421" w:type="dxa"/>
            <w:vAlign w:val="center"/>
          </w:tcPr>
          <w:p w14:paraId="3BBCA2D7" w14:textId="2F8CCB7F" w:rsidR="00BB4782" w:rsidRPr="002A46D8" w:rsidRDefault="003003A2" w:rsidP="005D1164">
            <w:pPr>
              <w:pStyle w:val="a9"/>
              <w:ind w:left="-120" w:right="-15" w:firstLine="7"/>
              <w:rPr>
                <w:sz w:val="22"/>
                <w:szCs w:val="24"/>
              </w:rPr>
            </w:pPr>
            <w:r w:rsidRPr="002A46D8">
              <w:rPr>
                <w:sz w:val="22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3BBCA2D8" w14:textId="77777777" w:rsidR="00BB4782" w:rsidRPr="002A46D8" w:rsidRDefault="00BB4782" w:rsidP="00BB4782">
            <w:pPr>
              <w:pStyle w:val="a9"/>
              <w:rPr>
                <w:sz w:val="22"/>
                <w:szCs w:val="24"/>
              </w:rPr>
            </w:pPr>
            <w:r w:rsidRPr="002A46D8">
              <w:rPr>
                <w:sz w:val="22"/>
                <w:szCs w:val="24"/>
              </w:rPr>
              <w:t>Забезпечення професійними засобами радіозв’язку та персональними супутниковими GPS треками з функцією «тривожна кнопка»</w:t>
            </w:r>
          </w:p>
        </w:tc>
        <w:tc>
          <w:tcPr>
            <w:tcW w:w="2552" w:type="dxa"/>
            <w:vAlign w:val="center"/>
          </w:tcPr>
          <w:p w14:paraId="3BBCA2D9" w14:textId="4A4CBA68" w:rsidR="00BB4782" w:rsidRPr="002A46D8" w:rsidRDefault="005D1164" w:rsidP="00BB4782">
            <w:pPr>
              <w:pStyle w:val="a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</w:t>
            </w:r>
            <w:r w:rsidR="00BB4782" w:rsidRPr="002A46D8">
              <w:rPr>
                <w:sz w:val="22"/>
                <w:szCs w:val="24"/>
              </w:rPr>
              <w:t>адіостанції потужністю від 3 Вт</w:t>
            </w:r>
          </w:p>
          <w:p w14:paraId="3BBCA2DA" w14:textId="1D2E7BE2" w:rsidR="00BB4782" w:rsidRPr="002A46D8" w:rsidRDefault="00BB4782" w:rsidP="00BB4782">
            <w:pPr>
              <w:pStyle w:val="a9"/>
              <w:rPr>
                <w:sz w:val="22"/>
                <w:szCs w:val="24"/>
              </w:rPr>
            </w:pPr>
            <w:r w:rsidRPr="002A46D8">
              <w:rPr>
                <w:sz w:val="22"/>
                <w:szCs w:val="24"/>
              </w:rPr>
              <w:t>GPS треки</w:t>
            </w:r>
          </w:p>
        </w:tc>
        <w:tc>
          <w:tcPr>
            <w:tcW w:w="4819" w:type="dxa"/>
            <w:vAlign w:val="center"/>
          </w:tcPr>
          <w:p w14:paraId="3BBCA2DB" w14:textId="4FA7B65F" w:rsidR="00BB4782" w:rsidRPr="002A46D8" w:rsidRDefault="00BB4782" w:rsidP="005D1164">
            <w:pPr>
              <w:pStyle w:val="a9"/>
              <w:jc w:val="both"/>
              <w:rPr>
                <w:sz w:val="22"/>
                <w:szCs w:val="24"/>
              </w:rPr>
            </w:pPr>
            <w:r w:rsidRPr="002A46D8">
              <w:rPr>
                <w:sz w:val="22"/>
                <w:szCs w:val="24"/>
              </w:rPr>
              <w:t xml:space="preserve">Взаємодія з територіальними підрозділами поліції у разі затримання зловмисника, чи зловмисників, моніторинг шляхів пересування охоронників. Вимагається по одній радіостанції та GPS </w:t>
            </w:r>
            <w:proofErr w:type="spellStart"/>
            <w:r w:rsidRPr="002A46D8">
              <w:rPr>
                <w:sz w:val="22"/>
                <w:szCs w:val="24"/>
              </w:rPr>
              <w:t>трека</w:t>
            </w:r>
            <w:proofErr w:type="spellEnd"/>
            <w:r w:rsidRPr="002A46D8">
              <w:rPr>
                <w:sz w:val="22"/>
                <w:szCs w:val="24"/>
              </w:rPr>
              <w:t xml:space="preserve"> на одного охоронника. Потужність радіостанції більше 3 Вт зумовлена тим, що під час використання на об’єкті радіостанції меншої потужності спостерігалось значне погіршення якості </w:t>
            </w:r>
            <w:r w:rsidR="00B75F4C" w:rsidRPr="002A46D8">
              <w:rPr>
                <w:sz w:val="22"/>
                <w:szCs w:val="24"/>
              </w:rPr>
              <w:t>радіозв’язку</w:t>
            </w:r>
            <w:r w:rsidRPr="002A46D8">
              <w:rPr>
                <w:sz w:val="22"/>
                <w:szCs w:val="24"/>
              </w:rPr>
              <w:t xml:space="preserve"> або взагалі його відсутність під час перевірки охоронниками приміщень, які знаходяться нижче рівня землі (котельня в підвальному приміщенні</w:t>
            </w:r>
            <w:r w:rsidR="005D1164">
              <w:rPr>
                <w:sz w:val="22"/>
                <w:szCs w:val="24"/>
              </w:rPr>
              <w:t>, підвальне приміщення</w:t>
            </w:r>
            <w:r w:rsidRPr="002A46D8">
              <w:rPr>
                <w:sz w:val="22"/>
                <w:szCs w:val="24"/>
              </w:rPr>
              <w:t>)</w:t>
            </w:r>
          </w:p>
        </w:tc>
      </w:tr>
    </w:tbl>
    <w:p w14:paraId="6F004C9B" w14:textId="77777777" w:rsidR="00575916" w:rsidRPr="002A46D8" w:rsidRDefault="00575916" w:rsidP="0057591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</w:pPr>
      <w:r w:rsidRPr="002A46D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  <w:br w:type="page"/>
      </w:r>
    </w:p>
    <w:p w14:paraId="60BD24E9" w14:textId="0689C968" w:rsidR="00575916" w:rsidRPr="002A46D8" w:rsidRDefault="00575916" w:rsidP="005759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</w:pPr>
      <w:r w:rsidRPr="002A46D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  <w:t>Обґрунтування</w:t>
      </w:r>
    </w:p>
    <w:p w14:paraId="533DF8DB" w14:textId="77777777" w:rsidR="00575916" w:rsidRPr="002A46D8" w:rsidRDefault="00575916" w:rsidP="005759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uk-UA"/>
        </w:rPr>
      </w:pPr>
      <w:r w:rsidRPr="002A46D8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uk-UA"/>
        </w:rPr>
        <w:t>розміру бюджетного призначення та очікуваної вартості предмета закупівлі</w:t>
      </w:r>
    </w:p>
    <w:p w14:paraId="0B80BDDB" w14:textId="5B0AD606" w:rsidR="00575916" w:rsidRPr="002A46D8" w:rsidRDefault="002A46D8" w:rsidP="0057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2A46D8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Код ДК 021:2015 79710000-4 Охоронні послуги (Послуги з охорони об’єктів ДНДЕКЦ МВС за адресами: просп. Тичини Павла, 26-Г, м. Київ та вул. Львівська, 80, м. Київ)</w:t>
      </w:r>
    </w:p>
    <w:p w14:paraId="65003B4B" w14:textId="77777777" w:rsidR="00575916" w:rsidRPr="002A46D8" w:rsidRDefault="00575916" w:rsidP="0057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</w:pPr>
      <w:r w:rsidRPr="002A46D8"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  <w:t>(назва предмета закупівлі)</w:t>
      </w:r>
    </w:p>
    <w:p w14:paraId="54EFAA0D" w14:textId="77777777" w:rsidR="00575916" w:rsidRPr="002A46D8" w:rsidRDefault="00575916" w:rsidP="0057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uk-UA"/>
        </w:rPr>
      </w:pPr>
    </w:p>
    <w:p w14:paraId="095B8D97" w14:textId="16B5B320" w:rsidR="00575916" w:rsidRPr="002A46D8" w:rsidRDefault="00575916" w:rsidP="0057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2A46D8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 xml:space="preserve">(номер/ ідентифікатор закупівлі </w:t>
      </w:r>
      <w:r w:rsidR="002A46D8" w:rsidRPr="002A46D8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UA-2025-01-14-015188-a</w:t>
      </w:r>
      <w:r w:rsidRPr="002A46D8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)</w:t>
      </w:r>
    </w:p>
    <w:p w14:paraId="103EA34F" w14:textId="77777777" w:rsidR="002A46D8" w:rsidRPr="002A46D8" w:rsidRDefault="002A46D8" w:rsidP="002A46D8">
      <w:pPr>
        <w:pStyle w:val="11"/>
        <w:spacing w:after="0" w:line="240" w:lineRule="auto"/>
        <w:ind w:firstLine="0"/>
        <w:jc w:val="center"/>
        <w:rPr>
          <w:iCs/>
          <w:sz w:val="18"/>
          <w:szCs w:val="24"/>
        </w:rPr>
      </w:pPr>
      <w:r w:rsidRPr="002A46D8">
        <w:rPr>
          <w:iCs/>
          <w:sz w:val="18"/>
          <w:szCs w:val="24"/>
        </w:rPr>
        <w:t>(заповнює відділ закупівель та супроводження договірної роботи)</w:t>
      </w:r>
    </w:p>
    <w:p w14:paraId="18539DAB" w14:textId="77777777" w:rsidR="00575916" w:rsidRPr="002A46D8" w:rsidRDefault="00575916" w:rsidP="005759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uk-UA"/>
        </w:rPr>
      </w:pPr>
    </w:p>
    <w:p w14:paraId="5AD46B5B" w14:textId="676CA3B1" w:rsidR="00575916" w:rsidRPr="002A46D8" w:rsidRDefault="002A46D8" w:rsidP="005759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uk-UA"/>
        </w:rPr>
      </w:pPr>
      <w:r w:rsidRPr="002A46D8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uk-UA"/>
        </w:rPr>
        <w:t>2 236 344,00</w:t>
      </w:r>
      <w:r w:rsidR="00575916" w:rsidRPr="002A46D8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uk-UA"/>
        </w:rPr>
        <w:t xml:space="preserve"> грн</w:t>
      </w:r>
    </w:p>
    <w:p w14:paraId="3BBCA2EC" w14:textId="0C7F4A89" w:rsidR="00035CEE" w:rsidRPr="002A46D8" w:rsidRDefault="00035CEE" w:rsidP="00575916">
      <w:pPr>
        <w:pStyle w:val="11"/>
        <w:tabs>
          <w:tab w:val="left" w:pos="1069"/>
        </w:tabs>
        <w:spacing w:after="0" w:line="240" w:lineRule="auto"/>
        <w:ind w:firstLine="0"/>
        <w:jc w:val="center"/>
        <w:rPr>
          <w:sz w:val="18"/>
          <w:szCs w:val="18"/>
        </w:rPr>
      </w:pPr>
      <w:r w:rsidRPr="002A46D8">
        <w:rPr>
          <w:sz w:val="18"/>
          <w:szCs w:val="18"/>
        </w:rPr>
        <w:t>(загальна очікувана вартість предмета закупівлі)</w:t>
      </w:r>
    </w:p>
    <w:p w14:paraId="3BBCA2ED" w14:textId="77777777" w:rsidR="00035CEE" w:rsidRPr="002A46D8" w:rsidRDefault="00035CEE" w:rsidP="00035CEE">
      <w:pPr>
        <w:pStyle w:val="11"/>
        <w:spacing w:after="0" w:line="240" w:lineRule="auto"/>
        <w:ind w:firstLine="0"/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843"/>
        <w:gridCol w:w="5953"/>
      </w:tblGrid>
      <w:tr w:rsidR="00035CEE" w:rsidRPr="002A46D8" w14:paraId="3BBCA2F3" w14:textId="77777777" w:rsidTr="002A46D8">
        <w:trPr>
          <w:trHeight w:val="480"/>
        </w:trPr>
        <w:tc>
          <w:tcPr>
            <w:tcW w:w="568" w:type="dxa"/>
            <w:vAlign w:val="center"/>
          </w:tcPr>
          <w:p w14:paraId="3BBCA2EE" w14:textId="77777777" w:rsidR="00035CEE" w:rsidRPr="002A46D8" w:rsidRDefault="00035CEE" w:rsidP="0003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A46D8">
              <w:rPr>
                <w:rFonts w:ascii="Times New Roman" w:hAnsi="Times New Roman" w:cs="Times New Roman"/>
                <w:szCs w:val="24"/>
              </w:rPr>
              <w:t>№</w:t>
            </w:r>
          </w:p>
          <w:p w14:paraId="3BBCA2EF" w14:textId="77777777" w:rsidR="00035CEE" w:rsidRPr="002A46D8" w:rsidRDefault="00035CEE" w:rsidP="0003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uk-UA"/>
              </w:rPr>
            </w:pPr>
            <w:r w:rsidRPr="002A46D8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14:paraId="3BBCA2F0" w14:textId="638DE4F9" w:rsidR="00035CEE" w:rsidRPr="002A46D8" w:rsidRDefault="00035CEE" w:rsidP="002A46D8">
            <w:pPr>
              <w:spacing w:after="0" w:line="240" w:lineRule="auto"/>
              <w:ind w:left="-113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uk-UA"/>
              </w:rPr>
            </w:pPr>
            <w:r w:rsidRPr="002A46D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1843" w:type="dxa"/>
            <w:vAlign w:val="center"/>
          </w:tcPr>
          <w:p w14:paraId="3BBCA2F1" w14:textId="0B3FDFD9" w:rsidR="00035CEE" w:rsidRPr="002A46D8" w:rsidRDefault="00035CEE" w:rsidP="002A46D8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uk-UA"/>
              </w:rPr>
            </w:pPr>
            <w:r w:rsidRPr="002A46D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953" w:type="dxa"/>
            <w:vAlign w:val="center"/>
          </w:tcPr>
          <w:p w14:paraId="3BBCA2F2" w14:textId="4DDE4871" w:rsidR="00035CEE" w:rsidRPr="002A46D8" w:rsidRDefault="00035CEE" w:rsidP="002A46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uk-UA"/>
              </w:rPr>
            </w:pPr>
            <w:r w:rsidRPr="002A46D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035CEE" w:rsidRPr="002A46D8" w14:paraId="3BBCA2F8" w14:textId="77777777" w:rsidTr="002A46D8">
        <w:trPr>
          <w:trHeight w:val="107"/>
        </w:trPr>
        <w:tc>
          <w:tcPr>
            <w:tcW w:w="568" w:type="dxa"/>
            <w:vAlign w:val="center"/>
          </w:tcPr>
          <w:p w14:paraId="3BBCA2F4" w14:textId="77777777" w:rsidR="00035CEE" w:rsidRPr="002A46D8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A4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vAlign w:val="center"/>
          </w:tcPr>
          <w:p w14:paraId="3BBCA2F5" w14:textId="77777777" w:rsidR="00035CEE" w:rsidRPr="002A46D8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A4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vAlign w:val="center"/>
          </w:tcPr>
          <w:p w14:paraId="3BBCA2F6" w14:textId="77777777" w:rsidR="00035CEE" w:rsidRPr="002A46D8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A4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953" w:type="dxa"/>
            <w:vAlign w:val="center"/>
          </w:tcPr>
          <w:p w14:paraId="3BBCA2F7" w14:textId="77777777" w:rsidR="00035CEE" w:rsidRPr="002A46D8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A46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2A46D8" w:rsidRPr="002A46D8" w14:paraId="3BBCA2FE" w14:textId="77777777" w:rsidTr="002A46D8">
        <w:trPr>
          <w:trHeight w:val="148"/>
        </w:trPr>
        <w:tc>
          <w:tcPr>
            <w:tcW w:w="568" w:type="dxa"/>
            <w:vAlign w:val="center"/>
          </w:tcPr>
          <w:p w14:paraId="3BBCA2F9" w14:textId="77777777" w:rsidR="002A46D8" w:rsidRPr="002A46D8" w:rsidRDefault="002A46D8" w:rsidP="002A46D8">
            <w:pPr>
              <w:pStyle w:val="a9"/>
              <w:rPr>
                <w:sz w:val="24"/>
                <w:szCs w:val="24"/>
              </w:rPr>
            </w:pPr>
            <w:r w:rsidRPr="002A46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3BBCA2FB" w14:textId="5B342D43" w:rsidR="002A46D8" w:rsidRPr="002A46D8" w:rsidRDefault="002A46D8" w:rsidP="002A46D8">
            <w:pPr>
              <w:pStyle w:val="a9"/>
              <w:rPr>
                <w:sz w:val="24"/>
                <w:szCs w:val="24"/>
              </w:rPr>
            </w:pPr>
            <w:r w:rsidRPr="002A46D8">
              <w:rPr>
                <w:color w:val="000000"/>
                <w:sz w:val="24"/>
                <w:szCs w:val="24"/>
              </w:rPr>
              <w:t>2 236 344,00</w:t>
            </w:r>
          </w:p>
        </w:tc>
        <w:tc>
          <w:tcPr>
            <w:tcW w:w="1843" w:type="dxa"/>
            <w:vAlign w:val="center"/>
          </w:tcPr>
          <w:p w14:paraId="3BBCA2FC" w14:textId="578ECF00" w:rsidR="002A46D8" w:rsidRPr="002A46D8" w:rsidRDefault="002A46D8" w:rsidP="002A46D8">
            <w:pPr>
              <w:pStyle w:val="a9"/>
              <w:rPr>
                <w:sz w:val="24"/>
                <w:szCs w:val="24"/>
              </w:rPr>
            </w:pPr>
            <w:r w:rsidRPr="002A46D8">
              <w:rPr>
                <w:color w:val="000000"/>
                <w:sz w:val="24"/>
                <w:szCs w:val="24"/>
              </w:rPr>
              <w:t>2 236 344,00</w:t>
            </w:r>
          </w:p>
        </w:tc>
        <w:tc>
          <w:tcPr>
            <w:tcW w:w="5953" w:type="dxa"/>
            <w:vAlign w:val="center"/>
          </w:tcPr>
          <w:p w14:paraId="684BE714" w14:textId="77777777" w:rsidR="002A46D8" w:rsidRPr="002A46D8" w:rsidRDefault="002A46D8" w:rsidP="00D0278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2A46D8">
              <w:rPr>
                <w:color w:val="000000"/>
                <w:sz w:val="24"/>
                <w:szCs w:val="24"/>
              </w:rPr>
              <w:t>Проаналізувавши комерційні пропозиції ТОВ «Приватна служба охорони», ПП «Конгрес охорона», ПП «</w:t>
            </w:r>
            <w:proofErr w:type="spellStart"/>
            <w:r w:rsidRPr="002A46D8">
              <w:rPr>
                <w:color w:val="000000"/>
                <w:sz w:val="24"/>
                <w:szCs w:val="24"/>
              </w:rPr>
              <w:t>Технохолдинг</w:t>
            </w:r>
            <w:proofErr w:type="spellEnd"/>
            <w:r w:rsidRPr="002A46D8">
              <w:rPr>
                <w:color w:val="000000"/>
                <w:sz w:val="24"/>
                <w:szCs w:val="24"/>
              </w:rPr>
              <w:t xml:space="preserve">-безпеки» </w:t>
            </w:r>
          </w:p>
          <w:p w14:paraId="41B1F56A" w14:textId="77777777" w:rsidR="00D02785" w:rsidRDefault="00D02785" w:rsidP="00D0278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</w:p>
          <w:p w14:paraId="42ECE287" w14:textId="18925ACC" w:rsidR="002A46D8" w:rsidRPr="002A46D8" w:rsidRDefault="002A46D8" w:rsidP="00D0278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2A46D8">
              <w:rPr>
                <w:color w:val="000000"/>
                <w:sz w:val="24"/>
                <w:szCs w:val="24"/>
              </w:rPr>
              <w:t>вул. Львівська, 80 (306 днів охорони)</w:t>
            </w:r>
          </w:p>
          <w:p w14:paraId="14BB33FB" w14:textId="7DDC3E77" w:rsidR="002A46D8" w:rsidRPr="002A46D8" w:rsidRDefault="002A46D8" w:rsidP="00D02785">
            <w:pPr>
              <w:pStyle w:val="a9"/>
              <w:jc w:val="left"/>
              <w:rPr>
                <w:color w:val="000000"/>
                <w:sz w:val="24"/>
                <w:szCs w:val="24"/>
              </w:rPr>
            </w:pPr>
            <w:r w:rsidRPr="002A46D8">
              <w:rPr>
                <w:color w:val="000000"/>
                <w:sz w:val="24"/>
                <w:szCs w:val="24"/>
              </w:rPr>
              <w:t>(1 446 768,00 + 1 468 800,00 + 1 424 736,00) / 3 = 1 446 768,00 грн.</w:t>
            </w:r>
          </w:p>
          <w:p w14:paraId="7749B0D1" w14:textId="77777777" w:rsidR="00D02785" w:rsidRDefault="00D02785" w:rsidP="00D0278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</w:p>
          <w:p w14:paraId="6CC5DCFA" w14:textId="6320AAEA" w:rsidR="002A46D8" w:rsidRPr="002A46D8" w:rsidRDefault="002A46D8" w:rsidP="00D0278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2A46D8">
              <w:rPr>
                <w:color w:val="000000"/>
                <w:sz w:val="24"/>
                <w:szCs w:val="24"/>
              </w:rPr>
              <w:t>проспект Павла Тичини 26-Г (334 дні охорони)</w:t>
            </w:r>
          </w:p>
          <w:p w14:paraId="7DBB56E1" w14:textId="1D436C06" w:rsidR="002A46D8" w:rsidRPr="002A46D8" w:rsidRDefault="002A46D8" w:rsidP="00D02785">
            <w:pPr>
              <w:pStyle w:val="a9"/>
              <w:jc w:val="left"/>
              <w:rPr>
                <w:color w:val="000000"/>
                <w:sz w:val="24"/>
                <w:szCs w:val="24"/>
              </w:rPr>
            </w:pPr>
            <w:r w:rsidRPr="002A46D8">
              <w:rPr>
                <w:color w:val="000000"/>
                <w:sz w:val="24"/>
                <w:szCs w:val="24"/>
              </w:rPr>
              <w:t>(789 576,00 + 801 600,00 + 777 552,00) / 3 = 789 576,00 грн.</w:t>
            </w:r>
          </w:p>
          <w:p w14:paraId="170103E1" w14:textId="77777777" w:rsidR="002A46D8" w:rsidRPr="002A46D8" w:rsidRDefault="002A46D8" w:rsidP="00D0278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</w:p>
          <w:p w14:paraId="3BBCA2FD" w14:textId="5CC2FF81" w:rsidR="002A46D8" w:rsidRPr="002A46D8" w:rsidRDefault="002A46D8" w:rsidP="00D0278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2A46D8">
              <w:rPr>
                <w:color w:val="000000"/>
                <w:sz w:val="24"/>
                <w:szCs w:val="24"/>
              </w:rPr>
              <w:t>Очікувана вартість закупівлі становить 2 236 344,00 грн.</w:t>
            </w:r>
          </w:p>
        </w:tc>
      </w:tr>
    </w:tbl>
    <w:p w14:paraId="3BBCA2FF" w14:textId="77777777" w:rsidR="00035CEE" w:rsidRPr="005D1164" w:rsidRDefault="00035CEE" w:rsidP="005D11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sectPr w:rsidR="00035CEE" w:rsidRPr="005D1164" w:rsidSect="00BB17EC">
      <w:pgSz w:w="11906" w:h="16838"/>
      <w:pgMar w:top="568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28A1"/>
    <w:multiLevelType w:val="multilevel"/>
    <w:tmpl w:val="DE1C8B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35CEE"/>
    <w:rsid w:val="000544DE"/>
    <w:rsid w:val="000D27C2"/>
    <w:rsid w:val="000D479E"/>
    <w:rsid w:val="000F6227"/>
    <w:rsid w:val="002A46D8"/>
    <w:rsid w:val="002B453F"/>
    <w:rsid w:val="003003A2"/>
    <w:rsid w:val="003B45C6"/>
    <w:rsid w:val="003C626E"/>
    <w:rsid w:val="004263BE"/>
    <w:rsid w:val="00467C40"/>
    <w:rsid w:val="00513DB6"/>
    <w:rsid w:val="00515538"/>
    <w:rsid w:val="00536B7B"/>
    <w:rsid w:val="00575916"/>
    <w:rsid w:val="005A6E6A"/>
    <w:rsid w:val="005D1164"/>
    <w:rsid w:val="005F71B5"/>
    <w:rsid w:val="006761AB"/>
    <w:rsid w:val="00685A25"/>
    <w:rsid w:val="00711127"/>
    <w:rsid w:val="00731C14"/>
    <w:rsid w:val="00745ECC"/>
    <w:rsid w:val="007837AE"/>
    <w:rsid w:val="007952E6"/>
    <w:rsid w:val="007A76C3"/>
    <w:rsid w:val="007E4E5C"/>
    <w:rsid w:val="007E724D"/>
    <w:rsid w:val="008B0406"/>
    <w:rsid w:val="008E1AEA"/>
    <w:rsid w:val="00950158"/>
    <w:rsid w:val="009B6575"/>
    <w:rsid w:val="00AB2B11"/>
    <w:rsid w:val="00AD2D9D"/>
    <w:rsid w:val="00B75F4C"/>
    <w:rsid w:val="00B96FF0"/>
    <w:rsid w:val="00BB17EC"/>
    <w:rsid w:val="00BB43F5"/>
    <w:rsid w:val="00BB4782"/>
    <w:rsid w:val="00C3605A"/>
    <w:rsid w:val="00C8176E"/>
    <w:rsid w:val="00D02785"/>
    <w:rsid w:val="00D04909"/>
    <w:rsid w:val="00D05A0A"/>
    <w:rsid w:val="00E06636"/>
    <w:rsid w:val="00E734FA"/>
    <w:rsid w:val="00E96451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A2A8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0D2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035CEE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BB4782"/>
    <w:rPr>
      <w:rFonts w:eastAsia="Times New Roman"/>
      <w:color w:val="1F1F1F"/>
      <w:sz w:val="28"/>
      <w:szCs w:val="28"/>
    </w:rPr>
  </w:style>
  <w:style w:type="paragraph" w:customStyle="1" w:styleId="a9">
    <w:name w:val="Другое"/>
    <w:basedOn w:val="a"/>
    <w:link w:val="a8"/>
    <w:rsid w:val="00BB478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1F1F1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D27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2254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14</cp:revision>
  <cp:lastPrinted>2023-12-06T09:40:00Z</cp:lastPrinted>
  <dcterms:created xsi:type="dcterms:W3CDTF">2025-01-15T15:11:00Z</dcterms:created>
  <dcterms:modified xsi:type="dcterms:W3CDTF">2025-01-16T09:32:00Z</dcterms:modified>
</cp:coreProperties>
</file>