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103E" w14:textId="77777777" w:rsidR="005E5339" w:rsidRDefault="00E2075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</w:t>
      </w:r>
    </w:p>
    <w:p w14:paraId="73761040" w14:textId="011CE2E2" w:rsidR="005E5339" w:rsidRDefault="00E20753" w:rsidP="007E5BCB">
      <w:pPr>
        <w:pStyle w:val="1"/>
        <w:spacing w:after="0" w:line="240" w:lineRule="auto"/>
        <w:ind w:firstLine="0"/>
        <w:jc w:val="center"/>
        <w:rPr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технічних та якісних характеристик предмета закупівлі</w:t>
      </w:r>
      <w:r>
        <w:rPr>
          <w:b/>
          <w:sz w:val="28"/>
          <w:szCs w:val="28"/>
        </w:rPr>
        <w:br/>
      </w:r>
      <w:bookmarkStart w:id="0" w:name="_Hlk188881183"/>
      <w:r w:rsidR="007E5BCB" w:rsidRPr="007E5BCB">
        <w:rPr>
          <w:b/>
          <w:sz w:val="28"/>
          <w:szCs w:val="28"/>
        </w:rPr>
        <w:t xml:space="preserve">Код ДК 021:2015 50110000-9 Послуги з ремонту і технічного обслуговування </w:t>
      </w:r>
      <w:proofErr w:type="spellStart"/>
      <w:r w:rsidR="007E5BCB" w:rsidRPr="007E5BCB">
        <w:rPr>
          <w:b/>
          <w:sz w:val="28"/>
          <w:szCs w:val="28"/>
        </w:rPr>
        <w:t>мототранспортних</w:t>
      </w:r>
      <w:proofErr w:type="spellEnd"/>
      <w:r w:rsidR="007E5BCB" w:rsidRPr="007E5BCB">
        <w:rPr>
          <w:b/>
          <w:sz w:val="28"/>
          <w:szCs w:val="28"/>
        </w:rPr>
        <w:t xml:space="preserve"> засобів і супутнього обладнання (Послуги з технічного обслуговування, ремонту, </w:t>
      </w:r>
      <w:proofErr w:type="spellStart"/>
      <w:r w:rsidR="007E5BCB" w:rsidRPr="007E5BCB">
        <w:rPr>
          <w:b/>
          <w:sz w:val="28"/>
          <w:szCs w:val="28"/>
        </w:rPr>
        <w:t>шиноремонту</w:t>
      </w:r>
      <w:proofErr w:type="spellEnd"/>
      <w:r w:rsidR="007E5BCB" w:rsidRPr="007E5BCB">
        <w:rPr>
          <w:b/>
          <w:sz w:val="28"/>
          <w:szCs w:val="28"/>
        </w:rPr>
        <w:t xml:space="preserve">, </w:t>
      </w:r>
      <w:proofErr w:type="spellStart"/>
      <w:r w:rsidR="007E5BCB" w:rsidRPr="007E5BCB">
        <w:rPr>
          <w:b/>
          <w:sz w:val="28"/>
          <w:szCs w:val="28"/>
        </w:rPr>
        <w:t>шиномонтажу</w:t>
      </w:r>
      <w:proofErr w:type="spellEnd"/>
      <w:r w:rsidR="007E5BCB" w:rsidRPr="007E5BCB">
        <w:rPr>
          <w:b/>
          <w:sz w:val="28"/>
          <w:szCs w:val="28"/>
        </w:rPr>
        <w:t>, мийки та хімічної чистки салону автомобілів)</w:t>
      </w:r>
    </w:p>
    <w:p w14:paraId="73761041" w14:textId="77777777" w:rsidR="005E5339" w:rsidRDefault="00E20753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>
        <w:rPr>
          <w:iCs/>
          <w:sz w:val="20"/>
          <w:szCs w:val="28"/>
        </w:rPr>
        <w:t>(назва предмета закупівлі)</w:t>
      </w:r>
    </w:p>
    <w:p w14:paraId="73761042" w14:textId="77777777" w:rsidR="005E5339" w:rsidRPr="0069057F" w:rsidRDefault="005E5339">
      <w:pPr>
        <w:pStyle w:val="1"/>
        <w:spacing w:after="0" w:line="240" w:lineRule="auto"/>
        <w:ind w:firstLine="0"/>
        <w:jc w:val="center"/>
        <w:rPr>
          <w:sz w:val="20"/>
          <w:szCs w:val="20"/>
        </w:rPr>
      </w:pPr>
    </w:p>
    <w:p w14:paraId="73761043" w14:textId="4E4B85D3" w:rsidR="005E5339" w:rsidRDefault="00E20753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(номер / ідентифікатор закупівлі </w:t>
      </w:r>
      <w:r w:rsidR="007E5BCB" w:rsidRPr="007E5BCB">
        <w:rPr>
          <w:b/>
          <w:sz w:val="28"/>
          <w:szCs w:val="28"/>
          <w:lang w:val="en-US"/>
        </w:rPr>
        <w:t>UA</w:t>
      </w:r>
      <w:r w:rsidR="007E5BCB" w:rsidRPr="007E5BCB">
        <w:rPr>
          <w:b/>
          <w:sz w:val="28"/>
          <w:szCs w:val="28"/>
        </w:rPr>
        <w:t>-2025-01-24-006796-</w:t>
      </w:r>
      <w:r w:rsidR="007E5BCB" w:rsidRPr="007E5BCB"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)</w:t>
      </w:r>
      <w:bookmarkEnd w:id="0"/>
    </w:p>
    <w:p w14:paraId="73761044" w14:textId="77777777" w:rsidR="005E5339" w:rsidRDefault="00E20753">
      <w:pPr>
        <w:pStyle w:val="1"/>
        <w:spacing w:after="0" w:line="240" w:lineRule="auto"/>
        <w:ind w:firstLine="0"/>
        <w:jc w:val="center"/>
        <w:rPr>
          <w:iCs/>
          <w:sz w:val="20"/>
          <w:szCs w:val="28"/>
        </w:rPr>
      </w:pPr>
      <w:r>
        <w:rPr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73761045" w14:textId="77777777" w:rsidR="005E5339" w:rsidRPr="0069057F" w:rsidRDefault="005E5339">
      <w:pPr>
        <w:pStyle w:val="1"/>
        <w:spacing w:after="0" w:line="240" w:lineRule="auto"/>
        <w:ind w:firstLine="0"/>
        <w:jc w:val="center"/>
        <w:rPr>
          <w:iCs/>
          <w:sz w:val="20"/>
          <w:szCs w:val="20"/>
        </w:rPr>
      </w:pPr>
    </w:p>
    <w:p w14:paraId="73761046" w14:textId="77777777" w:rsidR="005E5339" w:rsidRPr="007E5BCB" w:rsidRDefault="00E20753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7E5BCB">
        <w:rPr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73761048" w14:textId="77777777" w:rsidR="005E5339" w:rsidRPr="007E5BCB" w:rsidRDefault="005E5339">
      <w:pPr>
        <w:pStyle w:val="1"/>
        <w:spacing w:after="0" w:line="240" w:lineRule="auto"/>
        <w:ind w:firstLine="709"/>
        <w:jc w:val="center"/>
        <w:rPr>
          <w:sz w:val="24"/>
          <w:szCs w:val="24"/>
        </w:rPr>
      </w:pPr>
    </w:p>
    <w:tbl>
      <w:tblPr>
        <w:tblStyle w:val="ab"/>
        <w:tblW w:w="9730" w:type="dxa"/>
        <w:tblLayout w:type="fixed"/>
        <w:tblLook w:val="04A0" w:firstRow="1" w:lastRow="0" w:firstColumn="1" w:lastColumn="0" w:noHBand="0" w:noVBand="1"/>
      </w:tblPr>
      <w:tblGrid>
        <w:gridCol w:w="562"/>
        <w:gridCol w:w="2724"/>
        <w:gridCol w:w="3372"/>
        <w:gridCol w:w="3072"/>
      </w:tblGrid>
      <w:tr w:rsidR="005E5339" w:rsidRPr="007E5BCB" w14:paraId="7376104D" w14:textId="77777777" w:rsidTr="007E5BCB">
        <w:trPr>
          <w:cantSplit/>
          <w:trHeight w:val="547"/>
        </w:trPr>
        <w:tc>
          <w:tcPr>
            <w:tcW w:w="562" w:type="dxa"/>
            <w:vAlign w:val="center"/>
          </w:tcPr>
          <w:p w14:paraId="73761049" w14:textId="77777777" w:rsidR="005E5339" w:rsidRPr="007E5BCB" w:rsidRDefault="00E20753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№ п/п</w:t>
            </w:r>
          </w:p>
        </w:tc>
        <w:tc>
          <w:tcPr>
            <w:tcW w:w="2724" w:type="dxa"/>
            <w:vAlign w:val="center"/>
          </w:tcPr>
          <w:p w14:paraId="7376104A" w14:textId="77777777" w:rsidR="005E5339" w:rsidRPr="007E5BCB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372" w:type="dxa"/>
            <w:vAlign w:val="center"/>
          </w:tcPr>
          <w:p w14:paraId="7376104B" w14:textId="77777777" w:rsidR="005E5339" w:rsidRPr="007E5BCB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072" w:type="dxa"/>
            <w:vAlign w:val="center"/>
          </w:tcPr>
          <w:p w14:paraId="7376104C" w14:textId="77777777" w:rsidR="005E5339" w:rsidRPr="007E5BCB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5E5339" w:rsidRPr="007E5BCB" w14:paraId="73761052" w14:textId="77777777" w:rsidTr="007E5BCB">
        <w:trPr>
          <w:trHeight w:val="139"/>
        </w:trPr>
        <w:tc>
          <w:tcPr>
            <w:tcW w:w="562" w:type="dxa"/>
            <w:vAlign w:val="center"/>
          </w:tcPr>
          <w:p w14:paraId="7376104E" w14:textId="77777777" w:rsidR="005E5339" w:rsidRPr="007E5BCB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vAlign w:val="center"/>
          </w:tcPr>
          <w:p w14:paraId="7376104F" w14:textId="77777777" w:rsidR="005E5339" w:rsidRPr="007E5BCB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2</w:t>
            </w:r>
          </w:p>
        </w:tc>
        <w:tc>
          <w:tcPr>
            <w:tcW w:w="3372" w:type="dxa"/>
            <w:vAlign w:val="center"/>
          </w:tcPr>
          <w:p w14:paraId="73761050" w14:textId="77777777" w:rsidR="005E5339" w:rsidRPr="007E5BCB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3</w:t>
            </w:r>
          </w:p>
        </w:tc>
        <w:tc>
          <w:tcPr>
            <w:tcW w:w="3072" w:type="dxa"/>
            <w:vAlign w:val="center"/>
          </w:tcPr>
          <w:p w14:paraId="73761051" w14:textId="77777777" w:rsidR="005E5339" w:rsidRPr="007E5BCB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E5BCB">
              <w:rPr>
                <w:sz w:val="24"/>
                <w:szCs w:val="24"/>
              </w:rPr>
              <w:t>4</w:t>
            </w:r>
          </w:p>
        </w:tc>
      </w:tr>
      <w:tr w:rsidR="005E5339" w:rsidRPr="007E5BCB" w14:paraId="73761057" w14:textId="77777777" w:rsidTr="007E5BCB">
        <w:trPr>
          <w:trHeight w:val="134"/>
        </w:trPr>
        <w:tc>
          <w:tcPr>
            <w:tcW w:w="562" w:type="dxa"/>
            <w:vAlign w:val="center"/>
          </w:tcPr>
          <w:p w14:paraId="73761053" w14:textId="77777777" w:rsidR="005E5339" w:rsidRPr="007E5BCB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vAlign w:val="center"/>
          </w:tcPr>
          <w:p w14:paraId="73761054" w14:textId="77777777" w:rsidR="005E5339" w:rsidRPr="007E5BCB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Місцезнаходження станції технічного обслуговування.</w:t>
            </w:r>
          </w:p>
        </w:tc>
        <w:tc>
          <w:tcPr>
            <w:tcW w:w="3372" w:type="dxa"/>
            <w:vAlign w:val="center"/>
          </w:tcPr>
          <w:p w14:paraId="73761055" w14:textId="749705D9" w:rsidR="00EA1038" w:rsidRPr="007E5BCB" w:rsidRDefault="00075C53" w:rsidP="00EA1038">
            <w:pPr>
              <w:pStyle w:val="1"/>
              <w:spacing w:after="0" w:line="240" w:lineRule="auto"/>
              <w:ind w:firstLine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5BCB">
              <w:rPr>
                <w:rFonts w:eastAsia="Calibri"/>
                <w:sz w:val="24"/>
                <w:szCs w:val="24"/>
                <w:lang w:eastAsia="ru-RU"/>
              </w:rPr>
              <w:t>Станція технічного обслуговування та мийка, повинні знаходитись в межах міста Києва або Київської області на відстані не більше 10 км по маршруту переміщення транспортних засобів дорогами загального користування від місцезнаходження Замовника (08130, Київська область, Бучанський район, с.</w:t>
            </w:r>
            <w:r w:rsidR="007E5BCB">
              <w:rPr>
                <w:rFonts w:eastAsia="Calibri"/>
                <w:sz w:val="24"/>
                <w:szCs w:val="24"/>
                <w:lang w:eastAsia="ru-RU"/>
              </w:rPr>
              <w:t> </w:t>
            </w:r>
            <w:r w:rsidRPr="007E5BCB">
              <w:rPr>
                <w:rFonts w:eastAsia="Calibri"/>
                <w:sz w:val="24"/>
                <w:szCs w:val="24"/>
                <w:lang w:eastAsia="ru-RU"/>
              </w:rPr>
              <w:t>Петропавлівська Борщагівка, вул. Велика Кільцева, 4).</w:t>
            </w:r>
          </w:p>
        </w:tc>
        <w:tc>
          <w:tcPr>
            <w:tcW w:w="3072" w:type="dxa"/>
            <w:vAlign w:val="center"/>
          </w:tcPr>
          <w:p w14:paraId="73761056" w14:textId="77777777" w:rsidR="005E5339" w:rsidRPr="007E5BCB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Для скорочення експлуатаційних витрат та оптимізації робочого часу.</w:t>
            </w:r>
          </w:p>
        </w:tc>
      </w:tr>
      <w:tr w:rsidR="005E5339" w:rsidRPr="007E5BCB" w14:paraId="7376105C" w14:textId="77777777" w:rsidTr="007E5BCB">
        <w:trPr>
          <w:trHeight w:val="134"/>
        </w:trPr>
        <w:tc>
          <w:tcPr>
            <w:tcW w:w="562" w:type="dxa"/>
            <w:vAlign w:val="center"/>
          </w:tcPr>
          <w:p w14:paraId="73761058" w14:textId="77777777" w:rsidR="005E5339" w:rsidRPr="007E5BCB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2</w:t>
            </w:r>
          </w:p>
        </w:tc>
        <w:tc>
          <w:tcPr>
            <w:tcW w:w="2724" w:type="dxa"/>
            <w:vAlign w:val="center"/>
          </w:tcPr>
          <w:p w14:paraId="73761059" w14:textId="77777777" w:rsidR="005E5339" w:rsidRPr="007E5BCB" w:rsidRDefault="00E20753" w:rsidP="00B03EB8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 xml:space="preserve">При проведенні </w:t>
            </w:r>
            <w:r w:rsidR="00B03EB8" w:rsidRPr="007E5BCB">
              <w:rPr>
                <w:sz w:val="24"/>
                <w:szCs w:val="24"/>
              </w:rPr>
              <w:t xml:space="preserve">послуг з </w:t>
            </w:r>
            <w:r w:rsidRPr="007E5BCB">
              <w:rPr>
                <w:sz w:val="24"/>
                <w:szCs w:val="24"/>
              </w:rPr>
              <w:t>технічного обслуго</w:t>
            </w:r>
            <w:r w:rsidR="002F2A5E" w:rsidRPr="007E5BCB">
              <w:rPr>
                <w:sz w:val="24"/>
                <w:szCs w:val="24"/>
              </w:rPr>
              <w:t xml:space="preserve">вування, ремонту, </w:t>
            </w:r>
            <w:proofErr w:type="spellStart"/>
            <w:r w:rsidR="002F2A5E" w:rsidRPr="007E5BCB">
              <w:rPr>
                <w:sz w:val="24"/>
                <w:szCs w:val="24"/>
              </w:rPr>
              <w:t>шиноремонту</w:t>
            </w:r>
            <w:proofErr w:type="spellEnd"/>
            <w:r w:rsidR="00093538" w:rsidRPr="007E5BCB">
              <w:rPr>
                <w:sz w:val="24"/>
                <w:szCs w:val="24"/>
              </w:rPr>
              <w:t xml:space="preserve"> та</w:t>
            </w:r>
            <w:r w:rsidRPr="007E5BCB">
              <w:rPr>
                <w:sz w:val="24"/>
                <w:szCs w:val="24"/>
              </w:rPr>
              <w:t xml:space="preserve"> </w:t>
            </w:r>
            <w:proofErr w:type="spellStart"/>
            <w:r w:rsidRPr="007E5BCB">
              <w:rPr>
                <w:sz w:val="24"/>
                <w:szCs w:val="24"/>
              </w:rPr>
              <w:t>шиномонтажу</w:t>
            </w:r>
            <w:proofErr w:type="spellEnd"/>
            <w:r w:rsidR="002F2A5E" w:rsidRPr="007E5BCB">
              <w:rPr>
                <w:sz w:val="24"/>
                <w:szCs w:val="24"/>
              </w:rPr>
              <w:t xml:space="preserve"> автомобілів</w:t>
            </w:r>
            <w:r w:rsidR="00B03EB8" w:rsidRPr="007E5BCB">
              <w:rPr>
                <w:sz w:val="24"/>
                <w:szCs w:val="24"/>
              </w:rPr>
              <w:t xml:space="preserve"> ДНДЕКЦ МВС</w:t>
            </w:r>
            <w:r w:rsidR="002F2A5E" w:rsidRPr="007E5BCB">
              <w:rPr>
                <w:sz w:val="24"/>
                <w:szCs w:val="24"/>
              </w:rPr>
              <w:t xml:space="preserve">, </w:t>
            </w:r>
            <w:r w:rsidR="00B03EB8" w:rsidRPr="007E5BCB">
              <w:rPr>
                <w:sz w:val="24"/>
                <w:szCs w:val="24"/>
              </w:rPr>
              <w:t>Виконавець</w:t>
            </w:r>
            <w:r w:rsidRPr="007E5BCB">
              <w:rPr>
                <w:sz w:val="24"/>
                <w:szCs w:val="24"/>
              </w:rPr>
              <w:t xml:space="preserve"> повинен самостійно забезпечувати запасними частинами, витратними матеріалами, вузлами та агрегатами.</w:t>
            </w:r>
          </w:p>
        </w:tc>
        <w:tc>
          <w:tcPr>
            <w:tcW w:w="3372" w:type="dxa"/>
            <w:vAlign w:val="center"/>
          </w:tcPr>
          <w:p w14:paraId="7376105A" w14:textId="77777777" w:rsidR="005E5339" w:rsidRPr="007E5BCB" w:rsidRDefault="00B03EB8" w:rsidP="00C03F5D">
            <w:pPr>
              <w:widowControl w:val="0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7E5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Запасні частини та витратні матеріали, які Виконавець використовує при наданні послуг з технічного обслуговування, ремонту, </w:t>
            </w:r>
            <w:proofErr w:type="spellStart"/>
            <w:r w:rsidRPr="007E5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шиноремонту</w:t>
            </w:r>
            <w:proofErr w:type="spellEnd"/>
            <w:r w:rsidRPr="007E5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E5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шиномонтажу</w:t>
            </w:r>
            <w:proofErr w:type="spellEnd"/>
            <w:r w:rsidRPr="007E5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транспортних засобів повинні бути нові, за вимогою Замовника оригінальні.</w:t>
            </w:r>
          </w:p>
        </w:tc>
        <w:tc>
          <w:tcPr>
            <w:tcW w:w="3072" w:type="dxa"/>
            <w:vAlign w:val="center"/>
          </w:tcPr>
          <w:p w14:paraId="7376105B" w14:textId="77777777" w:rsidR="005E5339" w:rsidRPr="007E5BCB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Для якісного і своєчасного ремонту автомобілів.</w:t>
            </w:r>
          </w:p>
        </w:tc>
      </w:tr>
      <w:tr w:rsidR="005E5339" w:rsidRPr="007E5BCB" w14:paraId="73761061" w14:textId="77777777" w:rsidTr="007E5BCB">
        <w:trPr>
          <w:trHeight w:val="134"/>
        </w:trPr>
        <w:tc>
          <w:tcPr>
            <w:tcW w:w="562" w:type="dxa"/>
            <w:vAlign w:val="center"/>
          </w:tcPr>
          <w:p w14:paraId="7376105D" w14:textId="77777777" w:rsidR="005E5339" w:rsidRPr="007E5BCB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3</w:t>
            </w:r>
          </w:p>
        </w:tc>
        <w:tc>
          <w:tcPr>
            <w:tcW w:w="2724" w:type="dxa"/>
            <w:vAlign w:val="center"/>
          </w:tcPr>
          <w:p w14:paraId="7376105E" w14:textId="77777777" w:rsidR="005E5339" w:rsidRPr="007E5BCB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Забезпечення зберігання автомобілів.</w:t>
            </w:r>
          </w:p>
        </w:tc>
        <w:tc>
          <w:tcPr>
            <w:tcW w:w="3372" w:type="dxa"/>
            <w:vAlign w:val="center"/>
          </w:tcPr>
          <w:p w14:paraId="7376105F" w14:textId="77777777" w:rsidR="005E5339" w:rsidRPr="007E5BCB" w:rsidRDefault="00E20753" w:rsidP="00AE5A3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 xml:space="preserve">Наявність стоянки </w:t>
            </w:r>
            <w:r w:rsidR="00AE5A33" w:rsidRPr="007E5BCB">
              <w:rPr>
                <w:sz w:val="24"/>
                <w:szCs w:val="24"/>
              </w:rPr>
              <w:t xml:space="preserve">на території СТО </w:t>
            </w:r>
            <w:r w:rsidRPr="007E5BCB">
              <w:rPr>
                <w:sz w:val="24"/>
                <w:szCs w:val="24"/>
              </w:rPr>
              <w:t xml:space="preserve">для зберігання </w:t>
            </w:r>
            <w:r w:rsidR="00AE5A33" w:rsidRPr="007E5BCB">
              <w:rPr>
                <w:sz w:val="24"/>
                <w:szCs w:val="24"/>
              </w:rPr>
              <w:t>транспортних</w:t>
            </w:r>
            <w:r w:rsidRPr="007E5BCB">
              <w:rPr>
                <w:sz w:val="24"/>
                <w:szCs w:val="24"/>
              </w:rPr>
              <w:t xml:space="preserve"> засобів</w:t>
            </w:r>
            <w:r w:rsidR="00AE5A33" w:rsidRPr="007E5BCB">
              <w:rPr>
                <w:sz w:val="24"/>
                <w:szCs w:val="24"/>
              </w:rPr>
              <w:t xml:space="preserve"> та</w:t>
            </w:r>
            <w:r w:rsidRPr="007E5BCB">
              <w:rPr>
                <w:sz w:val="24"/>
                <w:szCs w:val="24"/>
              </w:rPr>
              <w:t xml:space="preserve"> цілодобової фізичної охорони.</w:t>
            </w:r>
          </w:p>
        </w:tc>
        <w:tc>
          <w:tcPr>
            <w:tcW w:w="3072" w:type="dxa"/>
            <w:vAlign w:val="center"/>
          </w:tcPr>
          <w:p w14:paraId="73761060" w14:textId="77777777" w:rsidR="005E5339" w:rsidRPr="007E5BCB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З метою зберігання транспортних засобів, пального, автомобільних шин, акумуляторів та іншого майна ДНДЕКЦ МВС, яке знаходиться на станції технічного обслуговування.</w:t>
            </w:r>
          </w:p>
        </w:tc>
      </w:tr>
      <w:tr w:rsidR="00E20753" w:rsidRPr="007E5BCB" w14:paraId="73761069" w14:textId="77777777" w:rsidTr="007E5BCB">
        <w:trPr>
          <w:trHeight w:val="134"/>
        </w:trPr>
        <w:tc>
          <w:tcPr>
            <w:tcW w:w="562" w:type="dxa"/>
            <w:vAlign w:val="center"/>
          </w:tcPr>
          <w:p w14:paraId="73761062" w14:textId="77777777" w:rsidR="00E20753" w:rsidRPr="007E5BCB" w:rsidRDefault="00A5691C" w:rsidP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4</w:t>
            </w:r>
          </w:p>
        </w:tc>
        <w:tc>
          <w:tcPr>
            <w:tcW w:w="2724" w:type="dxa"/>
            <w:vAlign w:val="center"/>
          </w:tcPr>
          <w:p w14:paraId="73761063" w14:textId="77777777" w:rsidR="00E20753" w:rsidRPr="007E5BCB" w:rsidRDefault="00E20753" w:rsidP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Комплексна мийка</w:t>
            </w:r>
          </w:p>
        </w:tc>
        <w:tc>
          <w:tcPr>
            <w:tcW w:w="3372" w:type="dxa"/>
            <w:vAlign w:val="center"/>
          </w:tcPr>
          <w:p w14:paraId="73761067" w14:textId="45F21DA0" w:rsidR="00E20753" w:rsidRPr="007E5BCB" w:rsidRDefault="00E20753" w:rsidP="007E5BCB">
            <w:pPr>
              <w:pStyle w:val="1"/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5BCB">
              <w:rPr>
                <w:sz w:val="24"/>
                <w:szCs w:val="24"/>
              </w:rPr>
              <w:t>Мийка з нанесенням миючих засобів,</w:t>
            </w:r>
            <w:r w:rsidR="007E5BCB">
              <w:rPr>
                <w:sz w:val="24"/>
                <w:szCs w:val="24"/>
              </w:rPr>
              <w:t xml:space="preserve"> </w:t>
            </w:r>
            <w:r w:rsidRPr="007E5BCB">
              <w:rPr>
                <w:sz w:val="24"/>
                <w:szCs w:val="24"/>
              </w:rPr>
              <w:t>чистка салону та багажного відділення автомобіля пилососом,</w:t>
            </w:r>
            <w:r w:rsidR="007E5BCB">
              <w:rPr>
                <w:sz w:val="24"/>
                <w:szCs w:val="24"/>
              </w:rPr>
              <w:t xml:space="preserve"> </w:t>
            </w:r>
            <w:r w:rsidRPr="007E5BCB">
              <w:rPr>
                <w:sz w:val="24"/>
                <w:szCs w:val="24"/>
              </w:rPr>
              <w:t>вологе прибирання салону з багажником,</w:t>
            </w:r>
            <w:r w:rsidR="007E5BCB">
              <w:rPr>
                <w:sz w:val="24"/>
                <w:szCs w:val="24"/>
              </w:rPr>
              <w:t xml:space="preserve"> </w:t>
            </w:r>
            <w:r w:rsidRPr="007E5BCB">
              <w:rPr>
                <w:rFonts w:eastAsia="Calibri"/>
                <w:sz w:val="24"/>
                <w:szCs w:val="24"/>
                <w:lang w:eastAsia="ru-RU"/>
              </w:rPr>
              <w:t>протирання скла та дзеркал, килимк</w:t>
            </w:r>
            <w:r w:rsidR="00752401" w:rsidRPr="007E5BCB">
              <w:rPr>
                <w:rFonts w:eastAsia="Calibri"/>
                <w:sz w:val="24"/>
                <w:szCs w:val="24"/>
                <w:lang w:eastAsia="ru-RU"/>
              </w:rPr>
              <w:t>ів</w:t>
            </w:r>
            <w:r w:rsidRPr="007E5BCB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="002944B5" w:rsidRPr="007E5BCB">
              <w:rPr>
                <w:sz w:val="24"/>
                <w:szCs w:val="24"/>
                <w:lang w:eastAsia="ru-RU"/>
              </w:rPr>
              <w:t>протирання пластика з салону</w:t>
            </w:r>
            <w:r w:rsidRPr="007E5BCB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2" w:type="dxa"/>
            <w:vAlign w:val="center"/>
          </w:tcPr>
          <w:p w14:paraId="73761068" w14:textId="77777777" w:rsidR="00E20753" w:rsidRPr="007E5BCB" w:rsidRDefault="00E20753" w:rsidP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З метою якісного обслуговування автомобілів замовника.</w:t>
            </w:r>
          </w:p>
        </w:tc>
      </w:tr>
      <w:tr w:rsidR="00E20753" w:rsidRPr="007E5BCB" w14:paraId="7376106E" w14:textId="77777777" w:rsidTr="007E5BCB">
        <w:trPr>
          <w:trHeight w:val="134"/>
        </w:trPr>
        <w:tc>
          <w:tcPr>
            <w:tcW w:w="562" w:type="dxa"/>
            <w:vAlign w:val="center"/>
          </w:tcPr>
          <w:p w14:paraId="7376106A" w14:textId="77777777" w:rsidR="00E20753" w:rsidRPr="007E5BCB" w:rsidRDefault="00A5691C" w:rsidP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5</w:t>
            </w:r>
          </w:p>
        </w:tc>
        <w:tc>
          <w:tcPr>
            <w:tcW w:w="2724" w:type="dxa"/>
            <w:vAlign w:val="center"/>
          </w:tcPr>
          <w:p w14:paraId="7376106B" w14:textId="77777777" w:rsidR="00E20753" w:rsidRPr="007E5BCB" w:rsidRDefault="00E20753" w:rsidP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Хімічна чистка салону автомобілів</w:t>
            </w:r>
          </w:p>
        </w:tc>
        <w:tc>
          <w:tcPr>
            <w:tcW w:w="3372" w:type="dxa"/>
            <w:vAlign w:val="center"/>
          </w:tcPr>
          <w:p w14:paraId="7376106C" w14:textId="77777777" w:rsidR="00E20753" w:rsidRPr="007E5BCB" w:rsidRDefault="00E20753" w:rsidP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</w:rPr>
              <w:t>Волога хімічна чистка сидінь, хімічна чистка стелі, підлоги, багажника та карт дверей з внутрішньої сторони автомобіля, натирання пластикових елементів салону автомобіля спеціальними засобами.</w:t>
            </w:r>
          </w:p>
        </w:tc>
        <w:tc>
          <w:tcPr>
            <w:tcW w:w="3072" w:type="dxa"/>
            <w:vAlign w:val="center"/>
          </w:tcPr>
          <w:p w14:paraId="7376106D" w14:textId="77777777" w:rsidR="00E20753" w:rsidRPr="007E5BCB" w:rsidRDefault="00E20753" w:rsidP="00E2075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BCB">
              <w:rPr>
                <w:sz w:val="24"/>
                <w:szCs w:val="24"/>
                <w:lang w:val="ru-RU"/>
              </w:rPr>
              <w:t xml:space="preserve">З метою чистки салону </w:t>
            </w:r>
            <w:proofErr w:type="spellStart"/>
            <w:r w:rsidRPr="007E5BCB">
              <w:rPr>
                <w:sz w:val="24"/>
                <w:szCs w:val="24"/>
                <w:lang w:val="ru-RU"/>
              </w:rPr>
              <w:t>автомобілів</w:t>
            </w:r>
            <w:proofErr w:type="spellEnd"/>
          </w:p>
        </w:tc>
      </w:tr>
    </w:tbl>
    <w:p w14:paraId="7376106F" w14:textId="02F35C87" w:rsidR="007E5BCB" w:rsidRDefault="007E5BCB" w:rsidP="007E5BCB">
      <w:pPr>
        <w:pStyle w:val="1"/>
        <w:spacing w:after="0" w:line="240" w:lineRule="auto"/>
        <w:ind w:firstLine="0"/>
        <w:jc w:val="both"/>
        <w:rPr>
          <w:sz w:val="24"/>
          <w:szCs w:val="24"/>
        </w:rPr>
      </w:pPr>
    </w:p>
    <w:p w14:paraId="4D31508E" w14:textId="77777777" w:rsidR="007E5BCB" w:rsidRDefault="007E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28FF41DE" w14:textId="77777777" w:rsidR="007E5BCB" w:rsidRDefault="007E5BCB" w:rsidP="007E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72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</w:t>
      </w:r>
    </w:p>
    <w:p w14:paraId="602C98A4" w14:textId="77777777" w:rsidR="007E5BCB" w:rsidRPr="007E5BCB" w:rsidRDefault="007E5BCB" w:rsidP="007E5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розміру бюджетного призначення та очікуваної вартості предмета закупівлі </w:t>
      </w:r>
      <w:r w:rsidRPr="007E5BCB">
        <w:rPr>
          <w:rFonts w:ascii="Times New Roman" w:hAnsi="Times New Roman" w:cs="Times New Roman"/>
          <w:b/>
          <w:sz w:val="28"/>
          <w:szCs w:val="28"/>
        </w:rPr>
        <w:t xml:space="preserve">Код ДК 021:2015 50110000-9 Послуги з ремонту і технічного обслуговування </w:t>
      </w:r>
      <w:proofErr w:type="spellStart"/>
      <w:r w:rsidRPr="007E5BCB">
        <w:rPr>
          <w:rFonts w:ascii="Times New Roman" w:hAnsi="Times New Roman" w:cs="Times New Roman"/>
          <w:b/>
          <w:sz w:val="28"/>
          <w:szCs w:val="28"/>
        </w:rPr>
        <w:t>мототранспортних</w:t>
      </w:r>
      <w:proofErr w:type="spellEnd"/>
      <w:r w:rsidRPr="007E5BCB">
        <w:rPr>
          <w:rFonts w:ascii="Times New Roman" w:hAnsi="Times New Roman" w:cs="Times New Roman"/>
          <w:b/>
          <w:sz w:val="28"/>
          <w:szCs w:val="28"/>
        </w:rPr>
        <w:t xml:space="preserve"> засобів і супутнього обладнання (Послуги з технічного обслуговування, ремонту, </w:t>
      </w:r>
      <w:proofErr w:type="spellStart"/>
      <w:r w:rsidRPr="007E5BCB">
        <w:rPr>
          <w:rFonts w:ascii="Times New Roman" w:hAnsi="Times New Roman" w:cs="Times New Roman"/>
          <w:b/>
          <w:sz w:val="28"/>
          <w:szCs w:val="28"/>
        </w:rPr>
        <w:t>шиноремонту</w:t>
      </w:r>
      <w:proofErr w:type="spellEnd"/>
      <w:r w:rsidRPr="007E5BC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5BCB">
        <w:rPr>
          <w:rFonts w:ascii="Times New Roman" w:hAnsi="Times New Roman" w:cs="Times New Roman"/>
          <w:b/>
          <w:sz w:val="28"/>
          <w:szCs w:val="28"/>
        </w:rPr>
        <w:t>шиномонтажу</w:t>
      </w:r>
      <w:proofErr w:type="spellEnd"/>
      <w:r w:rsidRPr="007E5BCB">
        <w:rPr>
          <w:rFonts w:ascii="Times New Roman" w:hAnsi="Times New Roman" w:cs="Times New Roman"/>
          <w:b/>
          <w:sz w:val="28"/>
          <w:szCs w:val="28"/>
        </w:rPr>
        <w:t>, мийки та хімічної чистки салону автомобілів)</w:t>
      </w:r>
    </w:p>
    <w:p w14:paraId="29E8BB73" w14:textId="77777777" w:rsidR="007E5BCB" w:rsidRPr="007E5BCB" w:rsidRDefault="007E5BCB" w:rsidP="007E5B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5BCB">
        <w:rPr>
          <w:rFonts w:ascii="Times New Roman" w:hAnsi="Times New Roman" w:cs="Times New Roman"/>
          <w:sz w:val="20"/>
          <w:szCs w:val="20"/>
        </w:rPr>
        <w:t>(назва предмета закупівлі)</w:t>
      </w:r>
    </w:p>
    <w:p w14:paraId="606BE585" w14:textId="77777777" w:rsidR="007E5BCB" w:rsidRPr="007E5BCB" w:rsidRDefault="007E5BCB" w:rsidP="007E5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D8A9F" w14:textId="265108BE" w:rsidR="007E5BCB" w:rsidRPr="00C76C53" w:rsidRDefault="007E5BCB" w:rsidP="007E5BCB">
      <w:pPr>
        <w:spacing w:after="0" w:line="240" w:lineRule="auto"/>
        <w:jc w:val="center"/>
        <w:rPr>
          <w:sz w:val="28"/>
          <w:szCs w:val="28"/>
        </w:rPr>
      </w:pPr>
      <w:r w:rsidRPr="007E5BCB">
        <w:rPr>
          <w:rFonts w:ascii="Times New Roman" w:hAnsi="Times New Roman" w:cs="Times New Roman"/>
          <w:b/>
          <w:sz w:val="28"/>
          <w:szCs w:val="28"/>
        </w:rPr>
        <w:t>(номер / ідентифікатор закупівлі UA-2025-01-24-006796-a)</w:t>
      </w:r>
    </w:p>
    <w:p w14:paraId="746BBD9D" w14:textId="77777777" w:rsidR="007E5BCB" w:rsidRDefault="007E5BCB" w:rsidP="007E5BCB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035CEE">
        <w:rPr>
          <w:rFonts w:ascii="Times New Roman" w:hAnsi="Times New Roman" w:cs="Times New Roman"/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7968BE89" w14:textId="77777777" w:rsidR="007E5BCB" w:rsidRDefault="007E5BCB" w:rsidP="007E5BCB">
      <w:pPr>
        <w:pStyle w:val="1"/>
        <w:spacing w:after="0" w:line="240" w:lineRule="auto"/>
        <w:ind w:firstLine="0"/>
        <w:jc w:val="center"/>
        <w:rPr>
          <w:b/>
          <w:sz w:val="28"/>
          <w:szCs w:val="28"/>
          <w:u w:val="single"/>
        </w:rPr>
      </w:pPr>
    </w:p>
    <w:p w14:paraId="645637A7" w14:textId="2C6A647B" w:rsidR="007E5BCB" w:rsidRPr="00183577" w:rsidRDefault="007E5BCB" w:rsidP="007E5BCB">
      <w:pPr>
        <w:pStyle w:val="1"/>
        <w:spacing w:after="0" w:line="240" w:lineRule="auto"/>
        <w:ind w:firstLine="0"/>
        <w:jc w:val="center"/>
        <w:rPr>
          <w:b/>
          <w:sz w:val="20"/>
          <w:szCs w:val="28"/>
          <w:u w:val="single"/>
        </w:rPr>
      </w:pPr>
      <w:r w:rsidRPr="007E5BCB">
        <w:rPr>
          <w:b/>
          <w:sz w:val="28"/>
          <w:szCs w:val="28"/>
          <w:u w:val="single"/>
        </w:rPr>
        <w:t>1 910 706,67</w:t>
      </w:r>
      <w:r w:rsidRPr="00183577">
        <w:rPr>
          <w:b/>
          <w:sz w:val="28"/>
          <w:szCs w:val="28"/>
          <w:u w:val="single"/>
        </w:rPr>
        <w:t xml:space="preserve"> грн</w:t>
      </w:r>
    </w:p>
    <w:p w14:paraId="5AA1F92D" w14:textId="77777777" w:rsidR="007E5BCB" w:rsidRDefault="007E5BCB" w:rsidP="007E5BCB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E94512">
        <w:rPr>
          <w:sz w:val="20"/>
          <w:szCs w:val="28"/>
        </w:rPr>
        <w:t>(загальна очікувана вартість предмета закупівлі)</w:t>
      </w:r>
    </w:p>
    <w:p w14:paraId="12E128B0" w14:textId="77777777" w:rsidR="007E5BCB" w:rsidRPr="0079224F" w:rsidRDefault="007E5BCB" w:rsidP="007E5BCB">
      <w:pPr>
        <w:pStyle w:val="1"/>
        <w:spacing w:after="0" w:line="240" w:lineRule="auto"/>
        <w:ind w:firstLine="0"/>
        <w:jc w:val="center"/>
        <w:rPr>
          <w:sz w:val="20"/>
          <w:szCs w:val="20"/>
        </w:rPr>
      </w:pPr>
    </w:p>
    <w:tbl>
      <w:tblPr>
        <w:tblStyle w:val="ab"/>
        <w:tblW w:w="9663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381"/>
        <w:gridCol w:w="4026"/>
      </w:tblGrid>
      <w:tr w:rsidR="007E5BCB" w:rsidRPr="007E5BCB" w14:paraId="0391FF7E" w14:textId="77777777" w:rsidTr="00600EF6">
        <w:trPr>
          <w:cantSplit/>
          <w:trHeight w:val="654"/>
        </w:trPr>
        <w:tc>
          <w:tcPr>
            <w:tcW w:w="704" w:type="dxa"/>
            <w:vAlign w:val="center"/>
          </w:tcPr>
          <w:p w14:paraId="5FD6F7F4" w14:textId="77777777" w:rsidR="007E5BCB" w:rsidRPr="007E5BCB" w:rsidRDefault="007E5BCB" w:rsidP="00600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4F3234E" w14:textId="77777777" w:rsidR="007E5BCB" w:rsidRPr="007E5BCB" w:rsidRDefault="007E5BCB" w:rsidP="0060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E5BC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14:paraId="0E9E551C" w14:textId="77777777" w:rsidR="007E5BCB" w:rsidRPr="007E5BCB" w:rsidRDefault="007E5BCB" w:rsidP="0060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E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  <w:r w:rsidRPr="007E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uk-UA"/>
              </w:rPr>
              <w:t>*</w:t>
            </w:r>
          </w:p>
        </w:tc>
        <w:tc>
          <w:tcPr>
            <w:tcW w:w="2381" w:type="dxa"/>
            <w:vAlign w:val="center"/>
          </w:tcPr>
          <w:p w14:paraId="6B33CA9E" w14:textId="77777777" w:rsidR="007E5BCB" w:rsidRPr="007E5BCB" w:rsidRDefault="007E5BCB" w:rsidP="0060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E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  <w:r w:rsidRPr="007E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uk-UA"/>
              </w:rPr>
              <w:t>**</w:t>
            </w:r>
          </w:p>
        </w:tc>
        <w:tc>
          <w:tcPr>
            <w:tcW w:w="4026" w:type="dxa"/>
            <w:vAlign w:val="center"/>
          </w:tcPr>
          <w:p w14:paraId="3CF0F91F" w14:textId="77777777" w:rsidR="007E5BCB" w:rsidRPr="007E5BCB" w:rsidRDefault="007E5BCB" w:rsidP="00600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E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  <w:r w:rsidRPr="007E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uk-UA"/>
              </w:rPr>
              <w:t>***</w:t>
            </w:r>
          </w:p>
        </w:tc>
      </w:tr>
      <w:tr w:rsidR="007E5BCB" w:rsidRPr="007E5BCB" w14:paraId="5B21C2DA" w14:textId="77777777" w:rsidTr="00600EF6">
        <w:trPr>
          <w:trHeight w:val="107"/>
        </w:trPr>
        <w:tc>
          <w:tcPr>
            <w:tcW w:w="704" w:type="dxa"/>
            <w:vAlign w:val="center"/>
          </w:tcPr>
          <w:p w14:paraId="13034776" w14:textId="77777777" w:rsidR="007E5BCB" w:rsidRPr="007E5BCB" w:rsidRDefault="007E5BCB" w:rsidP="0060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E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2" w:type="dxa"/>
            <w:vAlign w:val="center"/>
          </w:tcPr>
          <w:p w14:paraId="7FD946AA" w14:textId="77777777" w:rsidR="007E5BCB" w:rsidRPr="007E5BCB" w:rsidRDefault="007E5BCB" w:rsidP="0060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E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81" w:type="dxa"/>
            <w:vAlign w:val="center"/>
          </w:tcPr>
          <w:p w14:paraId="4D78EEEE" w14:textId="77777777" w:rsidR="007E5BCB" w:rsidRPr="007E5BCB" w:rsidRDefault="007E5BCB" w:rsidP="0060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E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26" w:type="dxa"/>
            <w:vAlign w:val="center"/>
          </w:tcPr>
          <w:p w14:paraId="3372EE03" w14:textId="77777777" w:rsidR="007E5BCB" w:rsidRPr="007E5BCB" w:rsidRDefault="007E5BCB" w:rsidP="0060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E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7E5BCB" w:rsidRPr="007E5BCB" w14:paraId="61581B39" w14:textId="77777777" w:rsidTr="00600EF6">
        <w:trPr>
          <w:trHeight w:val="148"/>
        </w:trPr>
        <w:tc>
          <w:tcPr>
            <w:tcW w:w="704" w:type="dxa"/>
            <w:vAlign w:val="center"/>
          </w:tcPr>
          <w:p w14:paraId="393D1643" w14:textId="77777777" w:rsidR="007E5BCB" w:rsidRPr="007E5BCB" w:rsidRDefault="007E5BCB" w:rsidP="0060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E5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2" w:type="dxa"/>
            <w:vAlign w:val="center"/>
          </w:tcPr>
          <w:p w14:paraId="778BE5D9" w14:textId="77777777" w:rsidR="007E5BCB" w:rsidRPr="007E5BCB" w:rsidRDefault="007E5BCB" w:rsidP="0060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E5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1 910 706,67 грн</w:t>
            </w:r>
            <w:r w:rsidRPr="007E5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4CFDAA0C" w14:textId="77777777" w:rsidR="007E5BCB" w:rsidRPr="007E5BCB" w:rsidRDefault="007E5BCB" w:rsidP="0060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E5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1 910 706,67 грн</w:t>
            </w:r>
            <w:r w:rsidRPr="007E5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6" w:type="dxa"/>
            <w:vAlign w:val="center"/>
          </w:tcPr>
          <w:p w14:paraId="3A715DB6" w14:textId="77777777" w:rsidR="007E5BCB" w:rsidRPr="007E5BCB" w:rsidRDefault="007E5BCB" w:rsidP="0060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E5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Очікувану вартість послуг з технічного обслуговування, ремонту, </w:t>
            </w:r>
            <w:proofErr w:type="spellStart"/>
            <w:r w:rsidRPr="007E5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шиноремонту</w:t>
            </w:r>
            <w:proofErr w:type="spellEnd"/>
            <w:r w:rsidRPr="007E5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E5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шиномонтажу</w:t>
            </w:r>
            <w:proofErr w:type="spellEnd"/>
            <w:r w:rsidRPr="007E5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мийки та хімічної чистки салону автомобілів ДНДЕКЦ МВС визначено відповідно до пункту 1 Розділу III Примірної методики визначення вартості предмета закупівлі затвердженої наказом Міністерства розвитку економіки, торгівлі та сільського господарства України від 18.02.2020 № 275, шляхом аналізу комерційних пропозицій.</w:t>
            </w:r>
          </w:p>
          <w:p w14:paraId="2A24D04E" w14:textId="6FBDDA41" w:rsidR="007E5BCB" w:rsidRPr="007E5BCB" w:rsidRDefault="007E5BCB" w:rsidP="0060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E5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На підставі аналізу отриманих комерційних пропозицій, очікувана вартість закупівлі послуг з технічного обслуговування, ремонту, </w:t>
            </w:r>
            <w:proofErr w:type="spellStart"/>
            <w:r w:rsidRPr="007E5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шиноремонту</w:t>
            </w:r>
            <w:proofErr w:type="spellEnd"/>
            <w:r w:rsidRPr="007E5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E5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шиномонтажу</w:t>
            </w:r>
            <w:proofErr w:type="spellEnd"/>
            <w:r w:rsidRPr="007E5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мийки та хімічної чистки салону автомобілів ДНДЕКЦ МВС складає 1 910 706,67 грн</w:t>
            </w:r>
          </w:p>
        </w:tc>
      </w:tr>
    </w:tbl>
    <w:p w14:paraId="0C194036" w14:textId="77777777" w:rsidR="007E5BCB" w:rsidRPr="007E5BCB" w:rsidRDefault="007E5BCB" w:rsidP="007E5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sectPr w:rsidR="007E5BCB" w:rsidRPr="007E5BCB" w:rsidSect="007E5BCB">
      <w:pgSz w:w="11906" w:h="16838"/>
      <w:pgMar w:top="567" w:right="567" w:bottom="567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6067"/>
    <w:multiLevelType w:val="multilevel"/>
    <w:tmpl w:val="55529A8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43205D7F"/>
    <w:multiLevelType w:val="hybridMultilevel"/>
    <w:tmpl w:val="0090E5B2"/>
    <w:lvl w:ilvl="0" w:tplc="281E6778">
      <w:start w:val="1"/>
      <w:numFmt w:val="decimal"/>
      <w:lvlText w:val="%1)"/>
      <w:lvlJc w:val="left"/>
      <w:pPr>
        <w:ind w:left="987" w:hanging="42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0B6708"/>
    <w:multiLevelType w:val="multilevel"/>
    <w:tmpl w:val="F954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39"/>
    <w:rsid w:val="00075C53"/>
    <w:rsid w:val="00093538"/>
    <w:rsid w:val="000A1F33"/>
    <w:rsid w:val="001261C4"/>
    <w:rsid w:val="002944B5"/>
    <w:rsid w:val="002B439B"/>
    <w:rsid w:val="002E7427"/>
    <w:rsid w:val="002F2A5E"/>
    <w:rsid w:val="00373321"/>
    <w:rsid w:val="003F4E5C"/>
    <w:rsid w:val="004F1926"/>
    <w:rsid w:val="005E5339"/>
    <w:rsid w:val="0069057F"/>
    <w:rsid w:val="00752401"/>
    <w:rsid w:val="007E5BCB"/>
    <w:rsid w:val="00A01B4B"/>
    <w:rsid w:val="00A5691C"/>
    <w:rsid w:val="00AE5A33"/>
    <w:rsid w:val="00B03EB8"/>
    <w:rsid w:val="00B616B6"/>
    <w:rsid w:val="00B829F7"/>
    <w:rsid w:val="00BB0812"/>
    <w:rsid w:val="00C03F5D"/>
    <w:rsid w:val="00E20753"/>
    <w:rsid w:val="00E94470"/>
    <w:rsid w:val="00EA1038"/>
    <w:rsid w:val="00F8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103B"/>
  <w15:docId w15:val="{FD54F8C5-E543-41F2-807B-5C65C4AF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</w:pPr>
    <w:rPr>
      <w:rFonts w:asciiTheme="minorHAnsi" w:eastAsia="Calibr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035CEE"/>
    <w:rPr>
      <w:rFonts w:eastAsia="Times New Roman"/>
      <w:sz w:val="26"/>
      <w:szCs w:val="26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7E724D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1">
    <w:name w:val="Основной текст1"/>
    <w:basedOn w:val="a"/>
    <w:link w:val="a3"/>
    <w:qFormat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035CEE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2515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dc:description/>
  <cp:lastModifiedBy>Гаспарян Каріне Аршаківна</cp:lastModifiedBy>
  <cp:revision>4</cp:revision>
  <cp:lastPrinted>2021-02-22T09:08:00Z</cp:lastPrinted>
  <dcterms:created xsi:type="dcterms:W3CDTF">2025-01-08T07:32:00Z</dcterms:created>
  <dcterms:modified xsi:type="dcterms:W3CDTF">2025-01-27T12:40:00Z</dcterms:modified>
  <dc:language>uk-UA</dc:language>
</cp:coreProperties>
</file>