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C477" w14:textId="034ECAC6" w:rsidR="007307F6" w:rsidRPr="00661C87" w:rsidRDefault="00661C87" w:rsidP="00661C87">
      <w:pPr>
        <w:shd w:val="clear" w:color="auto" w:fill="FFFFFF"/>
        <w:spacing w:after="150" w:line="240" w:lineRule="auto"/>
        <w:ind w:firstLine="426"/>
        <w:jc w:val="right"/>
        <w:rPr>
          <w:rFonts w:ascii="Times New Roman" w:eastAsia="Times New Roman" w:hAnsi="Times New Roman" w:cs="Times New Roman"/>
          <w:bCs/>
          <w:color w:val="333333"/>
          <w:sz w:val="28"/>
          <w:szCs w:val="28"/>
          <w:lang w:eastAsia="uk-UA"/>
        </w:rPr>
      </w:pPr>
      <w:r w:rsidRPr="00661C87">
        <w:rPr>
          <w:rFonts w:ascii="Times New Roman" w:eastAsia="Times New Roman" w:hAnsi="Times New Roman" w:cs="Times New Roman"/>
          <w:bCs/>
          <w:color w:val="333333"/>
          <w:sz w:val="28"/>
          <w:szCs w:val="28"/>
          <w:lang w:eastAsia="uk-UA"/>
        </w:rPr>
        <w:t>Додаток 1</w:t>
      </w:r>
    </w:p>
    <w:p w14:paraId="5E2096DF" w14:textId="678A6E35" w:rsidR="002D3052" w:rsidRPr="002D3052" w:rsidRDefault="008401F0" w:rsidP="002D3052">
      <w:pPr>
        <w:shd w:val="clear" w:color="auto" w:fill="FFFFFF"/>
        <w:spacing w:after="150" w:line="240" w:lineRule="auto"/>
        <w:ind w:firstLine="426"/>
        <w:jc w:val="center"/>
        <w:rPr>
          <w:rFonts w:ascii="Times New Roman" w:eastAsia="Times New Roman" w:hAnsi="Times New Roman" w:cs="Times New Roman"/>
          <w:b/>
          <w:bCs/>
          <w:color w:val="333333"/>
          <w:sz w:val="36"/>
          <w:szCs w:val="24"/>
          <w:lang w:eastAsia="uk-UA"/>
        </w:rPr>
      </w:pPr>
      <w:r w:rsidRPr="002D3052">
        <w:rPr>
          <w:rFonts w:ascii="Times New Roman" w:eastAsia="Times New Roman" w:hAnsi="Times New Roman" w:cs="Times New Roman"/>
          <w:b/>
          <w:bCs/>
          <w:color w:val="333333"/>
          <w:sz w:val="36"/>
          <w:szCs w:val="24"/>
          <w:lang w:eastAsia="uk-UA"/>
        </w:rPr>
        <w:t>Державний науково-дослідний експертно-криміналістичний центр МВС України</w:t>
      </w:r>
    </w:p>
    <w:p w14:paraId="06319F8E" w14:textId="0EC1F5D9" w:rsidR="008401F0" w:rsidRPr="006262FB" w:rsidRDefault="008401F0" w:rsidP="006262FB">
      <w:pPr>
        <w:shd w:val="clear" w:color="auto" w:fill="FFFFFF"/>
        <w:spacing w:after="150" w:line="240" w:lineRule="auto"/>
        <w:ind w:firstLine="426"/>
        <w:jc w:val="both"/>
        <w:rPr>
          <w:rFonts w:ascii="Times New Roman" w:hAnsi="Times New Roman" w:cs="Times New Roman"/>
          <w:color w:val="212529"/>
          <w:sz w:val="28"/>
          <w:szCs w:val="24"/>
          <w:shd w:val="clear" w:color="auto" w:fill="FBFDFF"/>
        </w:rPr>
      </w:pPr>
      <w:r w:rsidRPr="006262FB">
        <w:rPr>
          <w:rFonts w:ascii="Times New Roman" w:eastAsia="Times New Roman" w:hAnsi="Times New Roman" w:cs="Times New Roman"/>
          <w:bCs/>
          <w:color w:val="333333"/>
          <w:sz w:val="28"/>
          <w:szCs w:val="24"/>
          <w:lang w:eastAsia="uk-UA"/>
        </w:rPr>
        <w:t>(</w:t>
      </w:r>
      <w:r w:rsidR="007B3CB4" w:rsidRPr="006262FB">
        <w:rPr>
          <w:rFonts w:ascii="Times New Roman" w:eastAsia="Times New Roman" w:hAnsi="Times New Roman" w:cs="Times New Roman"/>
          <w:bCs/>
          <w:color w:val="333333"/>
          <w:sz w:val="28"/>
          <w:szCs w:val="24"/>
          <w:lang w:eastAsia="uk-UA"/>
        </w:rPr>
        <w:t>ДНДЕКЦ МВС</w:t>
      </w:r>
      <w:r w:rsidR="00E0771E">
        <w:rPr>
          <w:rFonts w:ascii="Times New Roman" w:eastAsia="Times New Roman" w:hAnsi="Times New Roman" w:cs="Times New Roman"/>
          <w:bCs/>
          <w:color w:val="333333"/>
          <w:sz w:val="28"/>
          <w:szCs w:val="24"/>
          <w:lang w:eastAsia="uk-UA"/>
        </w:rPr>
        <w:t>,</w:t>
      </w:r>
      <w:r w:rsidR="007B3CB4" w:rsidRPr="006262FB">
        <w:rPr>
          <w:rFonts w:ascii="Times New Roman" w:eastAsia="Times New Roman" w:hAnsi="Times New Roman" w:cs="Times New Roman"/>
          <w:bCs/>
          <w:color w:val="333333"/>
          <w:sz w:val="28"/>
          <w:szCs w:val="24"/>
          <w:lang w:eastAsia="uk-UA"/>
        </w:rPr>
        <w:t xml:space="preserve"> </w:t>
      </w:r>
      <w:r w:rsidRPr="006262FB">
        <w:rPr>
          <w:rFonts w:ascii="Times New Roman" w:eastAsia="Times New Roman" w:hAnsi="Times New Roman" w:cs="Times New Roman"/>
          <w:bCs/>
          <w:color w:val="333333"/>
          <w:sz w:val="28"/>
          <w:szCs w:val="24"/>
          <w:lang w:eastAsia="uk-UA"/>
        </w:rPr>
        <w:t>дільниця№1)</w:t>
      </w:r>
      <w:r w:rsidR="006262FB">
        <w:rPr>
          <w:rFonts w:ascii="Times New Roman" w:eastAsia="Times New Roman" w:hAnsi="Times New Roman" w:cs="Times New Roman"/>
          <w:bCs/>
          <w:color w:val="333333"/>
          <w:sz w:val="28"/>
          <w:szCs w:val="24"/>
          <w:lang w:eastAsia="uk-UA"/>
        </w:rPr>
        <w:t xml:space="preserve"> номер в реєстрі СОТК 01813</w:t>
      </w:r>
      <w:r w:rsidRPr="006262FB">
        <w:rPr>
          <w:rFonts w:ascii="Times New Roman" w:eastAsia="Times New Roman" w:hAnsi="Times New Roman" w:cs="Times New Roman"/>
          <w:bCs/>
          <w:color w:val="333333"/>
          <w:sz w:val="28"/>
          <w:szCs w:val="24"/>
          <w:lang w:eastAsia="uk-UA"/>
        </w:rPr>
        <w:t xml:space="preserve"> </w:t>
      </w:r>
      <w:r w:rsidR="00A839B8" w:rsidRPr="006262FB">
        <w:rPr>
          <w:rFonts w:ascii="Times New Roman" w:eastAsia="Times New Roman" w:hAnsi="Times New Roman" w:cs="Times New Roman"/>
          <w:bCs/>
          <w:color w:val="333333"/>
          <w:sz w:val="28"/>
          <w:szCs w:val="24"/>
          <w:lang w:eastAsia="uk-UA"/>
        </w:rPr>
        <w:t>у</w:t>
      </w:r>
      <w:r w:rsidRPr="006262FB">
        <w:rPr>
          <w:rFonts w:ascii="Times New Roman" w:hAnsi="Times New Roman" w:cs="Times New Roman"/>
          <w:color w:val="212529"/>
          <w:sz w:val="28"/>
          <w:szCs w:val="24"/>
          <w:shd w:val="clear" w:color="auto" w:fill="FBFDFF"/>
        </w:rPr>
        <w:t>повноважений проводити перевірку конструкції та технічного стану транспортних засобів під час обов’язкового технічного контролю, за результатами якої встановлюється їх придатність до експлуатації або неможливість експлуатації, відповідно до Постанови КМУ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 від 30.01.2012 р. №137</w:t>
      </w:r>
      <w:r w:rsidR="00A839B8" w:rsidRPr="006262FB">
        <w:rPr>
          <w:rFonts w:ascii="Times New Roman" w:hAnsi="Times New Roman" w:cs="Times New Roman"/>
          <w:color w:val="212529"/>
          <w:sz w:val="28"/>
          <w:szCs w:val="24"/>
          <w:shd w:val="clear" w:color="auto" w:fill="FBFDFF"/>
        </w:rPr>
        <w:t>, наступних категорій транспортних засобів</w:t>
      </w:r>
      <w:r w:rsidR="002D3052" w:rsidRPr="002D3052">
        <w:rPr>
          <w:rFonts w:ascii="Times New Roman" w:hAnsi="Times New Roman" w:cs="Times New Roman"/>
          <w:color w:val="212529"/>
          <w:sz w:val="28"/>
          <w:szCs w:val="24"/>
          <w:shd w:val="clear" w:color="auto" w:fill="FBFDFF"/>
        </w:rPr>
        <w:t xml:space="preserve"> </w:t>
      </w:r>
      <w:r w:rsidR="002D3052" w:rsidRPr="006262FB">
        <w:rPr>
          <w:rFonts w:ascii="Times New Roman" w:hAnsi="Times New Roman" w:cs="Times New Roman"/>
          <w:color w:val="212529"/>
          <w:sz w:val="28"/>
          <w:szCs w:val="24"/>
          <w:shd w:val="clear" w:color="auto" w:fill="FBFDFF"/>
        </w:rPr>
        <w:t>та їх підкатегорій</w:t>
      </w:r>
      <w:r w:rsidR="00A839B8" w:rsidRPr="006262FB">
        <w:rPr>
          <w:rFonts w:ascii="Times New Roman" w:hAnsi="Times New Roman" w:cs="Times New Roman"/>
          <w:color w:val="212529"/>
          <w:sz w:val="28"/>
          <w:szCs w:val="24"/>
          <w:shd w:val="clear" w:color="auto" w:fill="FBFDFF"/>
        </w:rPr>
        <w:t>:</w:t>
      </w:r>
    </w:p>
    <w:tbl>
      <w:tblPr>
        <w:tblStyle w:val="a6"/>
        <w:tblW w:w="21546"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764"/>
        <w:gridCol w:w="9514"/>
      </w:tblGrid>
      <w:tr w:rsidR="00A839B8" w:rsidRPr="00A839B8" w14:paraId="0391C424" w14:textId="77777777" w:rsidTr="002D3052">
        <w:tc>
          <w:tcPr>
            <w:tcW w:w="2268" w:type="dxa"/>
            <w:vMerge w:val="restart"/>
            <w:vAlign w:val="center"/>
          </w:tcPr>
          <w:p w14:paraId="1822F922" w14:textId="77777777" w:rsidR="00A839B8" w:rsidRPr="00A839B8" w:rsidRDefault="00A839B8" w:rsidP="005F7B9B">
            <w:pPr>
              <w:jc w:val="center"/>
              <w:rPr>
                <w:rFonts w:ascii="Times New Roman" w:hAnsi="Times New Roman" w:cs="Times New Roman"/>
                <w:b/>
                <w:sz w:val="44"/>
                <w:lang w:val="en-US"/>
              </w:rPr>
            </w:pPr>
            <w:r w:rsidRPr="00A839B8">
              <w:rPr>
                <w:rFonts w:ascii="Times New Roman" w:hAnsi="Times New Roman" w:cs="Times New Roman"/>
                <w:b/>
                <w:sz w:val="44"/>
                <w:lang w:val="en-US"/>
              </w:rPr>
              <w:t>M</w:t>
            </w:r>
          </w:p>
        </w:tc>
        <w:tc>
          <w:tcPr>
            <w:tcW w:w="9764" w:type="dxa"/>
          </w:tcPr>
          <w:p w14:paraId="10BC3D89"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до 8 пасажирів + водій</w:t>
            </w:r>
          </w:p>
        </w:tc>
        <w:tc>
          <w:tcPr>
            <w:tcW w:w="9514" w:type="dxa"/>
            <w:vAlign w:val="center"/>
          </w:tcPr>
          <w:p w14:paraId="20915C61"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M1, M1G, M1S, M1GS</w:t>
            </w:r>
          </w:p>
        </w:tc>
      </w:tr>
      <w:tr w:rsidR="00A839B8" w:rsidRPr="00A839B8" w14:paraId="39749627" w14:textId="77777777" w:rsidTr="002D3052">
        <w:tc>
          <w:tcPr>
            <w:tcW w:w="2268" w:type="dxa"/>
            <w:vMerge/>
          </w:tcPr>
          <w:p w14:paraId="0A1E56D3" w14:textId="77777777" w:rsidR="00A839B8" w:rsidRPr="00A839B8" w:rsidRDefault="00A839B8" w:rsidP="005F7B9B">
            <w:pPr>
              <w:rPr>
                <w:rFonts w:ascii="Times New Roman" w:hAnsi="Times New Roman" w:cs="Times New Roman"/>
                <w:sz w:val="44"/>
              </w:rPr>
            </w:pPr>
          </w:p>
        </w:tc>
        <w:tc>
          <w:tcPr>
            <w:tcW w:w="9764" w:type="dxa"/>
            <w:vAlign w:val="center"/>
          </w:tcPr>
          <w:p w14:paraId="48F5838A"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більше 8 пасажирів, масою до 5 т.</w:t>
            </w:r>
          </w:p>
        </w:tc>
        <w:tc>
          <w:tcPr>
            <w:tcW w:w="9514" w:type="dxa"/>
            <w:vAlign w:val="center"/>
          </w:tcPr>
          <w:p w14:paraId="0DC42964"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M2, M2G, M2S, M2GS</w:t>
            </w:r>
          </w:p>
        </w:tc>
      </w:tr>
      <w:tr w:rsidR="00A839B8" w:rsidRPr="00A839B8" w14:paraId="386FD185" w14:textId="77777777" w:rsidTr="002D3052">
        <w:trPr>
          <w:trHeight w:val="373"/>
        </w:trPr>
        <w:tc>
          <w:tcPr>
            <w:tcW w:w="2268" w:type="dxa"/>
            <w:vMerge/>
          </w:tcPr>
          <w:p w14:paraId="48B1322E" w14:textId="77777777" w:rsidR="00A839B8" w:rsidRPr="00A839B8" w:rsidRDefault="00A839B8" w:rsidP="005F7B9B">
            <w:pPr>
              <w:rPr>
                <w:rFonts w:ascii="Times New Roman" w:hAnsi="Times New Roman" w:cs="Times New Roman"/>
                <w:sz w:val="44"/>
              </w:rPr>
            </w:pPr>
          </w:p>
        </w:tc>
        <w:tc>
          <w:tcPr>
            <w:tcW w:w="9764" w:type="dxa"/>
          </w:tcPr>
          <w:p w14:paraId="50DEEAA6"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більше 8 пасажирів, масою понад 5 т.</w:t>
            </w:r>
          </w:p>
        </w:tc>
        <w:tc>
          <w:tcPr>
            <w:tcW w:w="9514" w:type="dxa"/>
            <w:vAlign w:val="center"/>
          </w:tcPr>
          <w:p w14:paraId="12DCB747"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M3, M3G, M3S, M3GS</w:t>
            </w:r>
          </w:p>
        </w:tc>
      </w:tr>
      <w:tr w:rsidR="00A839B8" w:rsidRPr="00A839B8" w14:paraId="52105257" w14:textId="77777777" w:rsidTr="002D3052">
        <w:trPr>
          <w:trHeight w:val="253"/>
        </w:trPr>
        <w:tc>
          <w:tcPr>
            <w:tcW w:w="2268" w:type="dxa"/>
          </w:tcPr>
          <w:p w14:paraId="34C5B408" w14:textId="77777777" w:rsidR="00A839B8" w:rsidRPr="00A839B8" w:rsidRDefault="00A839B8" w:rsidP="005F7B9B">
            <w:pPr>
              <w:rPr>
                <w:rFonts w:ascii="Times New Roman" w:hAnsi="Times New Roman" w:cs="Times New Roman"/>
                <w:sz w:val="28"/>
                <w:szCs w:val="28"/>
              </w:rPr>
            </w:pPr>
          </w:p>
        </w:tc>
        <w:tc>
          <w:tcPr>
            <w:tcW w:w="9764" w:type="dxa"/>
          </w:tcPr>
          <w:p w14:paraId="1F987325" w14:textId="77777777" w:rsidR="00A839B8" w:rsidRPr="00A839B8" w:rsidRDefault="00A839B8" w:rsidP="005F7B9B">
            <w:pPr>
              <w:jc w:val="center"/>
              <w:rPr>
                <w:rFonts w:ascii="Times New Roman" w:hAnsi="Times New Roman" w:cs="Times New Roman"/>
                <w:sz w:val="28"/>
                <w:szCs w:val="28"/>
              </w:rPr>
            </w:pPr>
          </w:p>
        </w:tc>
        <w:tc>
          <w:tcPr>
            <w:tcW w:w="9514" w:type="dxa"/>
          </w:tcPr>
          <w:p w14:paraId="36861CEC" w14:textId="77777777" w:rsidR="00A839B8" w:rsidRPr="00A839B8" w:rsidRDefault="00A839B8" w:rsidP="005F7B9B">
            <w:pPr>
              <w:rPr>
                <w:rFonts w:ascii="Times New Roman" w:hAnsi="Times New Roman" w:cs="Times New Roman"/>
                <w:sz w:val="28"/>
                <w:szCs w:val="28"/>
                <w:lang w:val="en-US"/>
              </w:rPr>
            </w:pPr>
          </w:p>
        </w:tc>
      </w:tr>
      <w:tr w:rsidR="00A839B8" w:rsidRPr="00A839B8" w14:paraId="47243FFE" w14:textId="77777777" w:rsidTr="002D3052">
        <w:tc>
          <w:tcPr>
            <w:tcW w:w="2268" w:type="dxa"/>
            <w:vMerge w:val="restart"/>
            <w:vAlign w:val="center"/>
          </w:tcPr>
          <w:p w14:paraId="5733ADD1" w14:textId="77777777" w:rsidR="00A839B8" w:rsidRPr="00A839B8" w:rsidRDefault="00A839B8" w:rsidP="005F7B9B">
            <w:pPr>
              <w:jc w:val="center"/>
              <w:rPr>
                <w:rFonts w:ascii="Times New Roman" w:hAnsi="Times New Roman" w:cs="Times New Roman"/>
                <w:b/>
                <w:sz w:val="44"/>
                <w:lang w:val="en-US"/>
              </w:rPr>
            </w:pPr>
            <w:r w:rsidRPr="00A839B8">
              <w:rPr>
                <w:rFonts w:ascii="Times New Roman" w:hAnsi="Times New Roman" w:cs="Times New Roman"/>
                <w:b/>
                <w:sz w:val="44"/>
                <w:lang w:val="en-US"/>
              </w:rPr>
              <w:t>N</w:t>
            </w:r>
          </w:p>
        </w:tc>
        <w:tc>
          <w:tcPr>
            <w:tcW w:w="9764" w:type="dxa"/>
            <w:vAlign w:val="center"/>
          </w:tcPr>
          <w:p w14:paraId="74A01F70"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вантажні, масою до 3,5 т.</w:t>
            </w:r>
          </w:p>
        </w:tc>
        <w:tc>
          <w:tcPr>
            <w:tcW w:w="9514" w:type="dxa"/>
            <w:vAlign w:val="center"/>
          </w:tcPr>
          <w:p w14:paraId="3DE2F6D6"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N1, N1G, N1S, N1GS</w:t>
            </w:r>
          </w:p>
        </w:tc>
      </w:tr>
      <w:tr w:rsidR="00A839B8" w:rsidRPr="00A839B8" w14:paraId="7343A51C" w14:textId="77777777" w:rsidTr="002D3052">
        <w:tc>
          <w:tcPr>
            <w:tcW w:w="2268" w:type="dxa"/>
            <w:vMerge/>
          </w:tcPr>
          <w:p w14:paraId="54B7BB5B" w14:textId="77777777" w:rsidR="00A839B8" w:rsidRPr="00A839B8" w:rsidRDefault="00A839B8" w:rsidP="005F7B9B">
            <w:pPr>
              <w:rPr>
                <w:rFonts w:ascii="Times New Roman" w:hAnsi="Times New Roman" w:cs="Times New Roman"/>
                <w:sz w:val="44"/>
              </w:rPr>
            </w:pPr>
          </w:p>
        </w:tc>
        <w:tc>
          <w:tcPr>
            <w:tcW w:w="9764" w:type="dxa"/>
            <w:vAlign w:val="center"/>
          </w:tcPr>
          <w:p w14:paraId="279B61DC" w14:textId="77777777" w:rsidR="00A839B8" w:rsidRPr="00E0771E" w:rsidRDefault="00A839B8" w:rsidP="005F7B9B">
            <w:pPr>
              <w:jc w:val="center"/>
              <w:rPr>
                <w:rFonts w:ascii="Times New Roman" w:hAnsi="Times New Roman" w:cs="Times New Roman"/>
                <w:sz w:val="28"/>
                <w:lang w:val="ru-RU"/>
              </w:rPr>
            </w:pPr>
            <w:r w:rsidRPr="00A839B8">
              <w:rPr>
                <w:rFonts w:ascii="Times New Roman" w:hAnsi="Times New Roman" w:cs="Times New Roman"/>
                <w:sz w:val="28"/>
              </w:rPr>
              <w:t>вантажні, масою від 3,5 т. до 12 т.</w:t>
            </w:r>
          </w:p>
        </w:tc>
        <w:tc>
          <w:tcPr>
            <w:tcW w:w="9514" w:type="dxa"/>
            <w:vAlign w:val="center"/>
          </w:tcPr>
          <w:p w14:paraId="0F05F98F"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N2, N2G, N2S, N2GS</w:t>
            </w:r>
          </w:p>
        </w:tc>
      </w:tr>
      <w:tr w:rsidR="00A839B8" w:rsidRPr="00A839B8" w14:paraId="17D9B0CB" w14:textId="77777777" w:rsidTr="002D3052">
        <w:trPr>
          <w:trHeight w:val="436"/>
        </w:trPr>
        <w:tc>
          <w:tcPr>
            <w:tcW w:w="2268" w:type="dxa"/>
            <w:vMerge/>
          </w:tcPr>
          <w:p w14:paraId="05220BED" w14:textId="77777777" w:rsidR="00A839B8" w:rsidRPr="00A839B8" w:rsidRDefault="00A839B8" w:rsidP="005F7B9B">
            <w:pPr>
              <w:rPr>
                <w:rFonts w:ascii="Times New Roman" w:hAnsi="Times New Roman" w:cs="Times New Roman"/>
                <w:sz w:val="44"/>
              </w:rPr>
            </w:pPr>
          </w:p>
        </w:tc>
        <w:tc>
          <w:tcPr>
            <w:tcW w:w="9764" w:type="dxa"/>
            <w:vAlign w:val="center"/>
          </w:tcPr>
          <w:p w14:paraId="0630342E"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rPr>
              <w:t>вантажні, масою понад 12 т.</w:t>
            </w:r>
          </w:p>
        </w:tc>
        <w:tc>
          <w:tcPr>
            <w:tcW w:w="9514" w:type="dxa"/>
            <w:vAlign w:val="center"/>
          </w:tcPr>
          <w:p w14:paraId="024E7B37"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N3, N3G, N3S, N3GS</w:t>
            </w:r>
          </w:p>
        </w:tc>
      </w:tr>
      <w:tr w:rsidR="00A839B8" w:rsidRPr="00A839B8" w14:paraId="4D17C417" w14:textId="77777777" w:rsidTr="002D3052">
        <w:trPr>
          <w:trHeight w:val="301"/>
        </w:trPr>
        <w:tc>
          <w:tcPr>
            <w:tcW w:w="2268" w:type="dxa"/>
          </w:tcPr>
          <w:p w14:paraId="15601DFD" w14:textId="77777777" w:rsidR="00A839B8" w:rsidRPr="00A839B8" w:rsidRDefault="00A839B8" w:rsidP="005F7B9B">
            <w:pPr>
              <w:jc w:val="center"/>
              <w:rPr>
                <w:rFonts w:ascii="Times New Roman" w:hAnsi="Times New Roman" w:cs="Times New Roman"/>
                <w:sz w:val="28"/>
                <w:szCs w:val="28"/>
              </w:rPr>
            </w:pPr>
          </w:p>
        </w:tc>
        <w:tc>
          <w:tcPr>
            <w:tcW w:w="9764" w:type="dxa"/>
            <w:vAlign w:val="center"/>
          </w:tcPr>
          <w:p w14:paraId="236B2CE8" w14:textId="77777777" w:rsidR="00A839B8" w:rsidRPr="00A839B8" w:rsidRDefault="00A839B8" w:rsidP="005F7B9B">
            <w:pPr>
              <w:jc w:val="center"/>
              <w:rPr>
                <w:rFonts w:ascii="Times New Roman" w:hAnsi="Times New Roman" w:cs="Times New Roman"/>
                <w:sz w:val="28"/>
                <w:szCs w:val="28"/>
              </w:rPr>
            </w:pPr>
          </w:p>
        </w:tc>
        <w:tc>
          <w:tcPr>
            <w:tcW w:w="9514" w:type="dxa"/>
            <w:vAlign w:val="center"/>
          </w:tcPr>
          <w:p w14:paraId="61A68A62" w14:textId="77777777" w:rsidR="00A839B8" w:rsidRPr="00A839B8" w:rsidRDefault="00A839B8" w:rsidP="005F7B9B">
            <w:pPr>
              <w:jc w:val="center"/>
              <w:rPr>
                <w:rFonts w:ascii="Times New Roman" w:hAnsi="Times New Roman" w:cs="Times New Roman"/>
                <w:sz w:val="28"/>
                <w:szCs w:val="28"/>
                <w:lang w:val="en-US"/>
              </w:rPr>
            </w:pPr>
          </w:p>
        </w:tc>
      </w:tr>
      <w:tr w:rsidR="00A839B8" w:rsidRPr="00A839B8" w14:paraId="59F6855A" w14:textId="77777777" w:rsidTr="002D3052">
        <w:tc>
          <w:tcPr>
            <w:tcW w:w="2268" w:type="dxa"/>
            <w:vMerge w:val="restart"/>
            <w:vAlign w:val="center"/>
          </w:tcPr>
          <w:p w14:paraId="23CA952D" w14:textId="77777777" w:rsidR="00A839B8" w:rsidRPr="00A839B8" w:rsidRDefault="00A839B8" w:rsidP="005F7B9B">
            <w:pPr>
              <w:jc w:val="center"/>
              <w:rPr>
                <w:rFonts w:ascii="Times New Roman" w:hAnsi="Times New Roman" w:cs="Times New Roman"/>
                <w:b/>
                <w:sz w:val="44"/>
                <w:lang w:val="en-US"/>
              </w:rPr>
            </w:pPr>
            <w:r w:rsidRPr="00A839B8">
              <w:rPr>
                <w:rFonts w:ascii="Times New Roman" w:hAnsi="Times New Roman" w:cs="Times New Roman"/>
                <w:b/>
                <w:sz w:val="44"/>
                <w:lang w:val="en-US"/>
              </w:rPr>
              <w:t>O</w:t>
            </w:r>
          </w:p>
        </w:tc>
        <w:tc>
          <w:tcPr>
            <w:tcW w:w="9764" w:type="dxa"/>
            <w:vAlign w:val="center"/>
          </w:tcPr>
          <w:p w14:paraId="2DC9ABA0"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причіп, масою до 0,75 т.</w:t>
            </w:r>
          </w:p>
        </w:tc>
        <w:tc>
          <w:tcPr>
            <w:tcW w:w="9514" w:type="dxa"/>
            <w:vAlign w:val="center"/>
          </w:tcPr>
          <w:p w14:paraId="2CC9EF85"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O1, O1S</w:t>
            </w:r>
          </w:p>
        </w:tc>
      </w:tr>
      <w:tr w:rsidR="00A839B8" w:rsidRPr="00A839B8" w14:paraId="7B4141F9" w14:textId="77777777" w:rsidTr="002D3052">
        <w:tc>
          <w:tcPr>
            <w:tcW w:w="2268" w:type="dxa"/>
            <w:vMerge/>
          </w:tcPr>
          <w:p w14:paraId="6166A4D6" w14:textId="77777777" w:rsidR="00A839B8" w:rsidRPr="00A839B8" w:rsidRDefault="00A839B8" w:rsidP="005F7B9B">
            <w:pPr>
              <w:rPr>
                <w:rFonts w:ascii="Times New Roman" w:hAnsi="Times New Roman" w:cs="Times New Roman"/>
                <w:sz w:val="44"/>
              </w:rPr>
            </w:pPr>
          </w:p>
        </w:tc>
        <w:tc>
          <w:tcPr>
            <w:tcW w:w="9764" w:type="dxa"/>
            <w:vAlign w:val="center"/>
          </w:tcPr>
          <w:p w14:paraId="39CE8919" w14:textId="77777777" w:rsidR="00A839B8" w:rsidRPr="00E0771E" w:rsidRDefault="00A839B8" w:rsidP="005F7B9B">
            <w:pPr>
              <w:jc w:val="center"/>
              <w:rPr>
                <w:rFonts w:ascii="Times New Roman" w:hAnsi="Times New Roman" w:cs="Times New Roman"/>
                <w:sz w:val="28"/>
                <w:lang w:val="ru-RU"/>
              </w:rPr>
            </w:pPr>
            <w:r w:rsidRPr="00A839B8">
              <w:rPr>
                <w:rFonts w:ascii="Times New Roman" w:hAnsi="Times New Roman" w:cs="Times New Roman"/>
                <w:sz w:val="28"/>
              </w:rPr>
              <w:t>причіп, масою від 0,75 т. до 3,5 т.</w:t>
            </w:r>
          </w:p>
        </w:tc>
        <w:tc>
          <w:tcPr>
            <w:tcW w:w="9514" w:type="dxa"/>
            <w:vAlign w:val="center"/>
          </w:tcPr>
          <w:p w14:paraId="436E5860"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O2, O2S</w:t>
            </w:r>
          </w:p>
        </w:tc>
      </w:tr>
      <w:tr w:rsidR="00A839B8" w:rsidRPr="00A839B8" w14:paraId="1AA14B4E" w14:textId="77777777" w:rsidTr="002D3052">
        <w:tc>
          <w:tcPr>
            <w:tcW w:w="2268" w:type="dxa"/>
            <w:vMerge/>
          </w:tcPr>
          <w:p w14:paraId="118CEB44" w14:textId="77777777" w:rsidR="00A839B8" w:rsidRPr="00A839B8" w:rsidRDefault="00A839B8" w:rsidP="005F7B9B">
            <w:pPr>
              <w:rPr>
                <w:rFonts w:ascii="Times New Roman" w:hAnsi="Times New Roman" w:cs="Times New Roman"/>
                <w:sz w:val="44"/>
              </w:rPr>
            </w:pPr>
          </w:p>
        </w:tc>
        <w:tc>
          <w:tcPr>
            <w:tcW w:w="9764" w:type="dxa"/>
            <w:vAlign w:val="center"/>
          </w:tcPr>
          <w:p w14:paraId="662A4247" w14:textId="77777777" w:rsidR="00A839B8" w:rsidRPr="00E0771E" w:rsidRDefault="00A839B8" w:rsidP="005F7B9B">
            <w:pPr>
              <w:jc w:val="center"/>
              <w:rPr>
                <w:rFonts w:ascii="Times New Roman" w:hAnsi="Times New Roman" w:cs="Times New Roman"/>
                <w:sz w:val="28"/>
                <w:lang w:val="ru-RU"/>
              </w:rPr>
            </w:pPr>
            <w:r w:rsidRPr="00A839B8">
              <w:rPr>
                <w:rFonts w:ascii="Times New Roman" w:hAnsi="Times New Roman" w:cs="Times New Roman"/>
                <w:sz w:val="28"/>
              </w:rPr>
              <w:t>причіп, масою від 3,5 т. до 10 т.</w:t>
            </w:r>
          </w:p>
        </w:tc>
        <w:tc>
          <w:tcPr>
            <w:tcW w:w="9514" w:type="dxa"/>
            <w:vAlign w:val="center"/>
          </w:tcPr>
          <w:p w14:paraId="7E3D8EEE"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O3, O3S</w:t>
            </w:r>
          </w:p>
        </w:tc>
      </w:tr>
      <w:tr w:rsidR="00A839B8" w:rsidRPr="00A839B8" w14:paraId="49C24616" w14:textId="77777777" w:rsidTr="002D3052">
        <w:trPr>
          <w:trHeight w:val="385"/>
        </w:trPr>
        <w:tc>
          <w:tcPr>
            <w:tcW w:w="2268" w:type="dxa"/>
            <w:vMerge/>
          </w:tcPr>
          <w:p w14:paraId="38D2B924" w14:textId="77777777" w:rsidR="00A839B8" w:rsidRPr="00A839B8" w:rsidRDefault="00A839B8" w:rsidP="005F7B9B">
            <w:pPr>
              <w:rPr>
                <w:rFonts w:ascii="Times New Roman" w:hAnsi="Times New Roman" w:cs="Times New Roman"/>
                <w:sz w:val="44"/>
              </w:rPr>
            </w:pPr>
          </w:p>
        </w:tc>
        <w:tc>
          <w:tcPr>
            <w:tcW w:w="9764" w:type="dxa"/>
            <w:vAlign w:val="center"/>
          </w:tcPr>
          <w:p w14:paraId="071570B3"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 xml:space="preserve">причіп, масою понад 10 т. </w:t>
            </w:r>
          </w:p>
        </w:tc>
        <w:tc>
          <w:tcPr>
            <w:tcW w:w="9514" w:type="dxa"/>
            <w:vAlign w:val="center"/>
          </w:tcPr>
          <w:p w14:paraId="5C91359A"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O4, O4S</w:t>
            </w:r>
          </w:p>
        </w:tc>
      </w:tr>
      <w:tr w:rsidR="00A839B8" w:rsidRPr="00A839B8" w14:paraId="1BB5038E" w14:textId="77777777" w:rsidTr="002D3052">
        <w:trPr>
          <w:trHeight w:val="368"/>
        </w:trPr>
        <w:tc>
          <w:tcPr>
            <w:tcW w:w="2268" w:type="dxa"/>
          </w:tcPr>
          <w:p w14:paraId="3D079E79" w14:textId="77777777" w:rsidR="00A839B8" w:rsidRPr="00A839B8" w:rsidRDefault="00A839B8" w:rsidP="005F7B9B">
            <w:pPr>
              <w:jc w:val="center"/>
              <w:rPr>
                <w:rFonts w:ascii="Times New Roman" w:hAnsi="Times New Roman" w:cs="Times New Roman"/>
                <w:sz w:val="28"/>
                <w:szCs w:val="28"/>
              </w:rPr>
            </w:pPr>
          </w:p>
        </w:tc>
        <w:tc>
          <w:tcPr>
            <w:tcW w:w="9764" w:type="dxa"/>
            <w:vAlign w:val="center"/>
          </w:tcPr>
          <w:p w14:paraId="685751AF" w14:textId="77777777" w:rsidR="00A839B8" w:rsidRPr="00A839B8" w:rsidRDefault="00A839B8" w:rsidP="005F7B9B">
            <w:pPr>
              <w:jc w:val="center"/>
              <w:rPr>
                <w:rFonts w:ascii="Times New Roman" w:hAnsi="Times New Roman" w:cs="Times New Roman"/>
                <w:sz w:val="28"/>
                <w:szCs w:val="28"/>
              </w:rPr>
            </w:pPr>
          </w:p>
        </w:tc>
        <w:tc>
          <w:tcPr>
            <w:tcW w:w="9514" w:type="dxa"/>
            <w:vAlign w:val="center"/>
          </w:tcPr>
          <w:p w14:paraId="78E59C95" w14:textId="77777777" w:rsidR="00A839B8" w:rsidRPr="00A839B8" w:rsidRDefault="00A839B8" w:rsidP="005F7B9B">
            <w:pPr>
              <w:jc w:val="center"/>
              <w:rPr>
                <w:rFonts w:ascii="Times New Roman" w:hAnsi="Times New Roman" w:cs="Times New Roman"/>
                <w:sz w:val="28"/>
                <w:szCs w:val="28"/>
                <w:lang w:val="en-US"/>
              </w:rPr>
            </w:pPr>
          </w:p>
        </w:tc>
      </w:tr>
      <w:tr w:rsidR="00A839B8" w:rsidRPr="00A839B8" w14:paraId="62F8945D" w14:textId="77777777" w:rsidTr="002D3052">
        <w:tc>
          <w:tcPr>
            <w:tcW w:w="2268" w:type="dxa"/>
            <w:vMerge w:val="restart"/>
            <w:vAlign w:val="center"/>
          </w:tcPr>
          <w:p w14:paraId="0A562925" w14:textId="77777777" w:rsidR="00A839B8" w:rsidRPr="00A839B8" w:rsidRDefault="00A839B8" w:rsidP="005F7B9B">
            <w:pPr>
              <w:jc w:val="center"/>
              <w:rPr>
                <w:rFonts w:ascii="Times New Roman" w:hAnsi="Times New Roman" w:cs="Times New Roman"/>
                <w:b/>
                <w:sz w:val="44"/>
                <w:lang w:val="en-US"/>
              </w:rPr>
            </w:pPr>
            <w:r w:rsidRPr="00A839B8">
              <w:rPr>
                <w:rFonts w:ascii="Times New Roman" w:hAnsi="Times New Roman" w:cs="Times New Roman"/>
                <w:b/>
                <w:sz w:val="44"/>
                <w:lang w:val="en-US"/>
              </w:rPr>
              <w:t>L</w:t>
            </w:r>
          </w:p>
        </w:tc>
        <w:tc>
          <w:tcPr>
            <w:tcW w:w="9764" w:type="dxa"/>
            <w:vMerge w:val="restart"/>
            <w:vAlign w:val="bottom"/>
          </w:tcPr>
          <w:p w14:paraId="267519A7"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моторолери,</w:t>
            </w:r>
            <w:r w:rsidRPr="00A839B8">
              <w:rPr>
                <w:rFonts w:ascii="Times New Roman" w:hAnsi="Times New Roman" w:cs="Times New Roman"/>
                <w:sz w:val="28"/>
              </w:rPr>
              <w:br/>
              <w:t>мопеди,</w:t>
            </w:r>
            <w:r w:rsidRPr="00A839B8">
              <w:rPr>
                <w:rFonts w:ascii="Times New Roman" w:hAnsi="Times New Roman" w:cs="Times New Roman"/>
                <w:sz w:val="28"/>
              </w:rPr>
              <w:br/>
              <w:t>мотоцикли,</w:t>
            </w:r>
            <w:r w:rsidRPr="00A839B8">
              <w:rPr>
                <w:rFonts w:ascii="Times New Roman" w:hAnsi="Times New Roman" w:cs="Times New Roman"/>
                <w:sz w:val="28"/>
              </w:rPr>
              <w:br/>
              <w:t>трицикли,</w:t>
            </w:r>
            <w:r w:rsidRPr="00A839B8">
              <w:rPr>
                <w:rFonts w:ascii="Times New Roman" w:hAnsi="Times New Roman" w:cs="Times New Roman"/>
                <w:sz w:val="28"/>
              </w:rPr>
              <w:br/>
              <w:t>квадроцикли</w:t>
            </w:r>
            <w:r w:rsidRPr="00A839B8">
              <w:rPr>
                <w:rFonts w:ascii="Times New Roman" w:hAnsi="Times New Roman" w:cs="Times New Roman"/>
                <w:sz w:val="28"/>
              </w:rPr>
              <w:br/>
            </w:r>
          </w:p>
        </w:tc>
        <w:tc>
          <w:tcPr>
            <w:tcW w:w="9514" w:type="dxa"/>
            <w:vAlign w:val="center"/>
          </w:tcPr>
          <w:p w14:paraId="7565F1C2" w14:textId="77777777" w:rsidR="00A839B8" w:rsidRPr="00A839B8" w:rsidRDefault="00A839B8" w:rsidP="005F7B9B">
            <w:pPr>
              <w:jc w:val="center"/>
              <w:rPr>
                <w:rFonts w:ascii="Times New Roman" w:hAnsi="Times New Roman" w:cs="Times New Roman"/>
                <w:sz w:val="28"/>
              </w:rPr>
            </w:pPr>
            <w:r w:rsidRPr="00A839B8">
              <w:rPr>
                <w:rFonts w:ascii="Times New Roman" w:hAnsi="Times New Roman" w:cs="Times New Roman"/>
                <w:sz w:val="28"/>
              </w:rPr>
              <w:t>L1</w:t>
            </w:r>
            <w:r w:rsidRPr="00A839B8">
              <w:rPr>
                <w:rFonts w:ascii="Times New Roman" w:hAnsi="Times New Roman" w:cs="Times New Roman"/>
                <w:sz w:val="28"/>
                <w:lang w:val="en-US"/>
              </w:rPr>
              <w:t>,</w:t>
            </w:r>
            <w:r w:rsidRPr="00A839B8">
              <w:rPr>
                <w:rFonts w:ascii="Times New Roman" w:hAnsi="Times New Roman" w:cs="Times New Roman"/>
                <w:sz w:val="28"/>
              </w:rPr>
              <w:t xml:space="preserve"> Lе1</w:t>
            </w:r>
          </w:p>
        </w:tc>
      </w:tr>
      <w:tr w:rsidR="00A839B8" w:rsidRPr="00A839B8" w14:paraId="297464C7" w14:textId="77777777" w:rsidTr="002D3052">
        <w:tc>
          <w:tcPr>
            <w:tcW w:w="2268" w:type="dxa"/>
            <w:vMerge/>
            <w:vAlign w:val="center"/>
          </w:tcPr>
          <w:p w14:paraId="75609B68" w14:textId="77777777" w:rsidR="00A839B8" w:rsidRPr="00A839B8" w:rsidRDefault="00A839B8" w:rsidP="005F7B9B">
            <w:pPr>
              <w:jc w:val="center"/>
              <w:rPr>
                <w:rFonts w:ascii="Times New Roman" w:hAnsi="Times New Roman" w:cs="Times New Roman"/>
                <w:b/>
                <w:sz w:val="56"/>
                <w:lang w:val="en-US"/>
              </w:rPr>
            </w:pPr>
          </w:p>
        </w:tc>
        <w:tc>
          <w:tcPr>
            <w:tcW w:w="9764" w:type="dxa"/>
            <w:vMerge/>
            <w:vAlign w:val="center"/>
          </w:tcPr>
          <w:p w14:paraId="1636ED01" w14:textId="77777777" w:rsidR="00A839B8" w:rsidRPr="00A839B8" w:rsidRDefault="00A839B8" w:rsidP="005F7B9B">
            <w:pPr>
              <w:jc w:val="right"/>
              <w:rPr>
                <w:rFonts w:ascii="Times New Roman" w:hAnsi="Times New Roman" w:cs="Times New Roman"/>
                <w:sz w:val="28"/>
                <w:lang w:val="en-US"/>
              </w:rPr>
            </w:pPr>
          </w:p>
        </w:tc>
        <w:tc>
          <w:tcPr>
            <w:tcW w:w="9514" w:type="dxa"/>
            <w:vAlign w:val="center"/>
          </w:tcPr>
          <w:p w14:paraId="542EFB88"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 xml:space="preserve">L2, </w:t>
            </w:r>
            <w:r w:rsidRPr="00A839B8">
              <w:rPr>
                <w:rFonts w:ascii="Times New Roman" w:hAnsi="Times New Roman" w:cs="Times New Roman"/>
                <w:sz w:val="28"/>
              </w:rPr>
              <w:t>Lе2</w:t>
            </w:r>
          </w:p>
        </w:tc>
      </w:tr>
      <w:tr w:rsidR="00A839B8" w:rsidRPr="00A839B8" w14:paraId="3AA0FB32" w14:textId="77777777" w:rsidTr="002D3052">
        <w:tc>
          <w:tcPr>
            <w:tcW w:w="2268" w:type="dxa"/>
            <w:vMerge/>
            <w:vAlign w:val="center"/>
          </w:tcPr>
          <w:p w14:paraId="714AEDFF" w14:textId="77777777" w:rsidR="00A839B8" w:rsidRPr="00A839B8" w:rsidRDefault="00A839B8" w:rsidP="005F7B9B">
            <w:pPr>
              <w:jc w:val="center"/>
              <w:rPr>
                <w:rFonts w:ascii="Times New Roman" w:hAnsi="Times New Roman" w:cs="Times New Roman"/>
                <w:b/>
                <w:sz w:val="56"/>
                <w:lang w:val="en-US"/>
              </w:rPr>
            </w:pPr>
          </w:p>
        </w:tc>
        <w:tc>
          <w:tcPr>
            <w:tcW w:w="9764" w:type="dxa"/>
            <w:vMerge/>
            <w:vAlign w:val="center"/>
          </w:tcPr>
          <w:p w14:paraId="62994952" w14:textId="77777777" w:rsidR="00A839B8" w:rsidRPr="00A839B8" w:rsidRDefault="00A839B8" w:rsidP="005F7B9B">
            <w:pPr>
              <w:jc w:val="right"/>
              <w:rPr>
                <w:rFonts w:ascii="Times New Roman" w:hAnsi="Times New Roman" w:cs="Times New Roman"/>
                <w:sz w:val="28"/>
                <w:lang w:val="en-US"/>
              </w:rPr>
            </w:pPr>
          </w:p>
        </w:tc>
        <w:tc>
          <w:tcPr>
            <w:tcW w:w="9514" w:type="dxa"/>
            <w:vAlign w:val="center"/>
          </w:tcPr>
          <w:p w14:paraId="2D9EA808"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 xml:space="preserve">L3, </w:t>
            </w:r>
            <w:proofErr w:type="spellStart"/>
            <w:r w:rsidRPr="00A839B8">
              <w:rPr>
                <w:rFonts w:ascii="Times New Roman" w:hAnsi="Times New Roman" w:cs="Times New Roman"/>
                <w:sz w:val="28"/>
              </w:rPr>
              <w:t>Lе</w:t>
            </w:r>
            <w:proofErr w:type="spellEnd"/>
            <w:r w:rsidRPr="00A839B8">
              <w:rPr>
                <w:rFonts w:ascii="Times New Roman" w:hAnsi="Times New Roman" w:cs="Times New Roman"/>
                <w:sz w:val="28"/>
                <w:lang w:val="en-US"/>
              </w:rPr>
              <w:t>3</w:t>
            </w:r>
          </w:p>
        </w:tc>
      </w:tr>
      <w:tr w:rsidR="00A839B8" w:rsidRPr="00A839B8" w14:paraId="585036CE" w14:textId="77777777" w:rsidTr="002D3052">
        <w:tc>
          <w:tcPr>
            <w:tcW w:w="2268" w:type="dxa"/>
            <w:vMerge/>
            <w:vAlign w:val="center"/>
          </w:tcPr>
          <w:p w14:paraId="4CD18129" w14:textId="77777777" w:rsidR="00A839B8" w:rsidRPr="00A839B8" w:rsidRDefault="00A839B8" w:rsidP="005F7B9B">
            <w:pPr>
              <w:jc w:val="center"/>
              <w:rPr>
                <w:rFonts w:ascii="Times New Roman" w:hAnsi="Times New Roman" w:cs="Times New Roman"/>
                <w:b/>
                <w:sz w:val="56"/>
                <w:lang w:val="en-US"/>
              </w:rPr>
            </w:pPr>
          </w:p>
        </w:tc>
        <w:tc>
          <w:tcPr>
            <w:tcW w:w="9764" w:type="dxa"/>
            <w:vMerge/>
            <w:vAlign w:val="center"/>
          </w:tcPr>
          <w:p w14:paraId="1C54CD20" w14:textId="77777777" w:rsidR="00A839B8" w:rsidRPr="00A839B8" w:rsidRDefault="00A839B8" w:rsidP="005F7B9B">
            <w:pPr>
              <w:jc w:val="right"/>
              <w:rPr>
                <w:rFonts w:ascii="Times New Roman" w:hAnsi="Times New Roman" w:cs="Times New Roman"/>
                <w:sz w:val="28"/>
                <w:lang w:val="en-US"/>
              </w:rPr>
            </w:pPr>
          </w:p>
        </w:tc>
        <w:tc>
          <w:tcPr>
            <w:tcW w:w="9514" w:type="dxa"/>
            <w:vAlign w:val="center"/>
          </w:tcPr>
          <w:p w14:paraId="7C4E062F"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 xml:space="preserve">L4, </w:t>
            </w:r>
            <w:proofErr w:type="spellStart"/>
            <w:r w:rsidRPr="00A839B8">
              <w:rPr>
                <w:rFonts w:ascii="Times New Roman" w:hAnsi="Times New Roman" w:cs="Times New Roman"/>
                <w:sz w:val="28"/>
              </w:rPr>
              <w:t>Lе</w:t>
            </w:r>
            <w:proofErr w:type="spellEnd"/>
            <w:r w:rsidRPr="00A839B8">
              <w:rPr>
                <w:rFonts w:ascii="Times New Roman" w:hAnsi="Times New Roman" w:cs="Times New Roman"/>
                <w:sz w:val="28"/>
                <w:lang w:val="en-US"/>
              </w:rPr>
              <w:t>4</w:t>
            </w:r>
          </w:p>
        </w:tc>
      </w:tr>
      <w:tr w:rsidR="00A839B8" w:rsidRPr="00A839B8" w14:paraId="211B7FE5" w14:textId="77777777" w:rsidTr="002D3052">
        <w:tc>
          <w:tcPr>
            <w:tcW w:w="2268" w:type="dxa"/>
            <w:vMerge/>
            <w:vAlign w:val="center"/>
          </w:tcPr>
          <w:p w14:paraId="18534EE3" w14:textId="77777777" w:rsidR="00A839B8" w:rsidRPr="00A839B8" w:rsidRDefault="00A839B8" w:rsidP="005F7B9B">
            <w:pPr>
              <w:jc w:val="center"/>
              <w:rPr>
                <w:rFonts w:ascii="Times New Roman" w:hAnsi="Times New Roman" w:cs="Times New Roman"/>
                <w:b/>
                <w:sz w:val="56"/>
                <w:lang w:val="en-US"/>
              </w:rPr>
            </w:pPr>
          </w:p>
        </w:tc>
        <w:tc>
          <w:tcPr>
            <w:tcW w:w="9764" w:type="dxa"/>
            <w:vMerge/>
            <w:vAlign w:val="center"/>
          </w:tcPr>
          <w:p w14:paraId="4F0609F8" w14:textId="77777777" w:rsidR="00A839B8" w:rsidRPr="00A839B8" w:rsidRDefault="00A839B8" w:rsidP="005F7B9B">
            <w:pPr>
              <w:jc w:val="right"/>
              <w:rPr>
                <w:rFonts w:ascii="Times New Roman" w:hAnsi="Times New Roman" w:cs="Times New Roman"/>
                <w:sz w:val="28"/>
                <w:lang w:val="en-US"/>
              </w:rPr>
            </w:pPr>
          </w:p>
        </w:tc>
        <w:tc>
          <w:tcPr>
            <w:tcW w:w="9514" w:type="dxa"/>
            <w:vAlign w:val="center"/>
          </w:tcPr>
          <w:p w14:paraId="35B94F14"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 xml:space="preserve">L5, </w:t>
            </w:r>
            <w:proofErr w:type="spellStart"/>
            <w:r w:rsidRPr="00A839B8">
              <w:rPr>
                <w:rFonts w:ascii="Times New Roman" w:hAnsi="Times New Roman" w:cs="Times New Roman"/>
                <w:sz w:val="28"/>
              </w:rPr>
              <w:t>Lе</w:t>
            </w:r>
            <w:proofErr w:type="spellEnd"/>
            <w:r w:rsidRPr="00A839B8">
              <w:rPr>
                <w:rFonts w:ascii="Times New Roman" w:hAnsi="Times New Roman" w:cs="Times New Roman"/>
                <w:sz w:val="28"/>
                <w:lang w:val="en-US"/>
              </w:rPr>
              <w:t>5</w:t>
            </w:r>
          </w:p>
        </w:tc>
      </w:tr>
      <w:tr w:rsidR="00A839B8" w:rsidRPr="00A839B8" w14:paraId="1DA76C99" w14:textId="77777777" w:rsidTr="002D3052">
        <w:tc>
          <w:tcPr>
            <w:tcW w:w="2268" w:type="dxa"/>
            <w:vMerge/>
            <w:vAlign w:val="center"/>
          </w:tcPr>
          <w:p w14:paraId="37062E90" w14:textId="77777777" w:rsidR="00A839B8" w:rsidRPr="00A839B8" w:rsidRDefault="00A839B8" w:rsidP="005F7B9B">
            <w:pPr>
              <w:jc w:val="center"/>
              <w:rPr>
                <w:rFonts w:ascii="Times New Roman" w:hAnsi="Times New Roman" w:cs="Times New Roman"/>
                <w:b/>
                <w:sz w:val="56"/>
                <w:lang w:val="en-US"/>
              </w:rPr>
            </w:pPr>
          </w:p>
        </w:tc>
        <w:tc>
          <w:tcPr>
            <w:tcW w:w="9764" w:type="dxa"/>
            <w:vMerge/>
            <w:vAlign w:val="center"/>
          </w:tcPr>
          <w:p w14:paraId="033510E6" w14:textId="77777777" w:rsidR="00A839B8" w:rsidRPr="00A839B8" w:rsidRDefault="00A839B8" w:rsidP="005F7B9B">
            <w:pPr>
              <w:jc w:val="right"/>
              <w:rPr>
                <w:rFonts w:ascii="Times New Roman" w:hAnsi="Times New Roman" w:cs="Times New Roman"/>
                <w:sz w:val="28"/>
                <w:lang w:val="en-US"/>
              </w:rPr>
            </w:pPr>
          </w:p>
        </w:tc>
        <w:tc>
          <w:tcPr>
            <w:tcW w:w="9514" w:type="dxa"/>
            <w:vAlign w:val="center"/>
          </w:tcPr>
          <w:p w14:paraId="25D5FF14"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 xml:space="preserve">L6, </w:t>
            </w:r>
            <w:r w:rsidRPr="00A839B8">
              <w:rPr>
                <w:rFonts w:ascii="Times New Roman" w:hAnsi="Times New Roman" w:cs="Times New Roman"/>
                <w:sz w:val="28"/>
              </w:rPr>
              <w:t>Lе6</w:t>
            </w:r>
          </w:p>
        </w:tc>
      </w:tr>
      <w:tr w:rsidR="00A839B8" w:rsidRPr="00A839B8" w14:paraId="6A55869B" w14:textId="77777777" w:rsidTr="002D3052">
        <w:tc>
          <w:tcPr>
            <w:tcW w:w="2268" w:type="dxa"/>
            <w:vMerge/>
            <w:vAlign w:val="center"/>
          </w:tcPr>
          <w:p w14:paraId="3AFDFB41" w14:textId="77777777" w:rsidR="00A839B8" w:rsidRPr="00A839B8" w:rsidRDefault="00A839B8" w:rsidP="005F7B9B">
            <w:pPr>
              <w:jc w:val="center"/>
              <w:rPr>
                <w:rFonts w:ascii="Times New Roman" w:hAnsi="Times New Roman" w:cs="Times New Roman"/>
                <w:b/>
                <w:sz w:val="56"/>
                <w:lang w:val="en-US"/>
              </w:rPr>
            </w:pPr>
          </w:p>
        </w:tc>
        <w:tc>
          <w:tcPr>
            <w:tcW w:w="9764" w:type="dxa"/>
            <w:vMerge/>
            <w:vAlign w:val="center"/>
          </w:tcPr>
          <w:p w14:paraId="3C9CC601" w14:textId="77777777" w:rsidR="00A839B8" w:rsidRPr="00A839B8" w:rsidRDefault="00A839B8" w:rsidP="005F7B9B">
            <w:pPr>
              <w:jc w:val="right"/>
              <w:rPr>
                <w:rFonts w:ascii="Times New Roman" w:hAnsi="Times New Roman" w:cs="Times New Roman"/>
                <w:sz w:val="28"/>
                <w:lang w:val="en-US"/>
              </w:rPr>
            </w:pPr>
          </w:p>
        </w:tc>
        <w:tc>
          <w:tcPr>
            <w:tcW w:w="9514" w:type="dxa"/>
            <w:vAlign w:val="center"/>
          </w:tcPr>
          <w:p w14:paraId="6564E296" w14:textId="77777777" w:rsidR="00A839B8" w:rsidRPr="00A839B8" w:rsidRDefault="00A839B8" w:rsidP="005F7B9B">
            <w:pPr>
              <w:jc w:val="center"/>
              <w:rPr>
                <w:rFonts w:ascii="Times New Roman" w:hAnsi="Times New Roman" w:cs="Times New Roman"/>
                <w:sz w:val="28"/>
                <w:lang w:val="en-US"/>
              </w:rPr>
            </w:pPr>
            <w:r w:rsidRPr="00A839B8">
              <w:rPr>
                <w:rFonts w:ascii="Times New Roman" w:hAnsi="Times New Roman" w:cs="Times New Roman"/>
                <w:sz w:val="28"/>
                <w:lang w:val="en-US"/>
              </w:rPr>
              <w:t xml:space="preserve">L7, </w:t>
            </w:r>
            <w:proofErr w:type="spellStart"/>
            <w:r w:rsidRPr="00A839B8">
              <w:rPr>
                <w:rFonts w:ascii="Times New Roman" w:hAnsi="Times New Roman" w:cs="Times New Roman"/>
                <w:sz w:val="28"/>
              </w:rPr>
              <w:t>Lе</w:t>
            </w:r>
            <w:proofErr w:type="spellEnd"/>
            <w:r w:rsidRPr="00A839B8">
              <w:rPr>
                <w:rFonts w:ascii="Times New Roman" w:hAnsi="Times New Roman" w:cs="Times New Roman"/>
                <w:sz w:val="28"/>
                <w:lang w:val="en-US"/>
              </w:rPr>
              <w:t>7</w:t>
            </w:r>
          </w:p>
        </w:tc>
      </w:tr>
    </w:tbl>
    <w:p w14:paraId="60A81A35" w14:textId="77777777" w:rsidR="002D3052" w:rsidRDefault="002D3052"/>
    <w:p w14:paraId="4C16F115" w14:textId="77777777" w:rsidR="002D3052" w:rsidRPr="006262FB" w:rsidRDefault="002D3052" w:rsidP="002D3052">
      <w:pPr>
        <w:jc w:val="center"/>
        <w:rPr>
          <w:rFonts w:ascii="Times New Roman" w:hAnsi="Times New Roman" w:cs="Times New Roman"/>
          <w:sz w:val="28"/>
          <w:szCs w:val="28"/>
        </w:rPr>
      </w:pPr>
      <w:r w:rsidRPr="006262FB">
        <w:rPr>
          <w:rFonts w:ascii="Times New Roman" w:hAnsi="Times New Roman" w:cs="Times New Roman"/>
          <w:sz w:val="28"/>
          <w:szCs w:val="28"/>
        </w:rPr>
        <w:t>в тому числі:</w:t>
      </w:r>
    </w:p>
    <w:p w14:paraId="46B55C53" w14:textId="5F4B6E35" w:rsidR="00A839B8" w:rsidRPr="00A839B8" w:rsidRDefault="002D3052" w:rsidP="002D3052">
      <w:pPr>
        <w:shd w:val="clear" w:color="auto" w:fill="FFFFFF"/>
        <w:spacing w:after="150" w:line="240" w:lineRule="auto"/>
        <w:rPr>
          <w:rFonts w:ascii="Times New Roman" w:eastAsia="Times New Roman" w:hAnsi="Times New Roman" w:cs="Times New Roman"/>
          <w:bCs/>
          <w:color w:val="333333"/>
          <w:sz w:val="24"/>
          <w:szCs w:val="24"/>
          <w:lang w:eastAsia="uk-UA"/>
        </w:rPr>
      </w:pPr>
      <w:r w:rsidRPr="006262FB">
        <w:rPr>
          <w:rFonts w:ascii="Times New Roman" w:hAnsi="Times New Roman" w:cs="Times New Roman"/>
          <w:spacing w:val="-8"/>
          <w:sz w:val="28"/>
          <w:szCs w:val="28"/>
        </w:rPr>
        <w:t>таксі, шкільні автобуси</w:t>
      </w:r>
      <w:r w:rsidRPr="00E0771E">
        <w:rPr>
          <w:rFonts w:ascii="Times New Roman" w:hAnsi="Times New Roman" w:cs="Times New Roman"/>
          <w:spacing w:val="-8"/>
          <w:sz w:val="28"/>
          <w:szCs w:val="28"/>
        </w:rPr>
        <w:t>,</w:t>
      </w:r>
      <w:r w:rsidRPr="006262FB">
        <w:rPr>
          <w:rFonts w:ascii="Times New Roman" w:hAnsi="Times New Roman" w:cs="Times New Roman"/>
          <w:spacing w:val="-8"/>
          <w:sz w:val="28"/>
          <w:szCs w:val="28"/>
        </w:rPr>
        <w:t xml:space="preserve"> автобуси для перевезення інвалідів</w:t>
      </w:r>
      <w:r w:rsidRPr="00E0771E">
        <w:rPr>
          <w:rFonts w:ascii="Times New Roman" w:hAnsi="Times New Roman" w:cs="Times New Roman"/>
          <w:spacing w:val="-8"/>
          <w:sz w:val="28"/>
          <w:szCs w:val="28"/>
        </w:rPr>
        <w:t>,</w:t>
      </w:r>
      <w:r w:rsidRPr="006262FB">
        <w:rPr>
          <w:rFonts w:ascii="Times New Roman" w:hAnsi="Times New Roman" w:cs="Times New Roman"/>
          <w:spacing w:val="-8"/>
          <w:sz w:val="28"/>
          <w:szCs w:val="28"/>
        </w:rPr>
        <w:t xml:space="preserve"> обладнані системами живлення двигунів стисненим природним чи зрідженим нафтовим газом або альтернативними їм видами палива</w:t>
      </w:r>
      <w:r w:rsidRPr="00E0771E">
        <w:rPr>
          <w:rFonts w:ascii="Times New Roman" w:hAnsi="Times New Roman" w:cs="Times New Roman"/>
          <w:spacing w:val="-8"/>
          <w:sz w:val="28"/>
          <w:szCs w:val="28"/>
        </w:rPr>
        <w:t>,</w:t>
      </w:r>
      <w:r w:rsidRPr="006262FB">
        <w:rPr>
          <w:rFonts w:ascii="Times New Roman" w:hAnsi="Times New Roman" w:cs="Times New Roman"/>
          <w:spacing w:val="-8"/>
          <w:sz w:val="28"/>
          <w:szCs w:val="28"/>
        </w:rPr>
        <w:t xml:space="preserve"> </w:t>
      </w:r>
      <w:r w:rsidR="00E0771E">
        <w:rPr>
          <w:rFonts w:ascii="Times New Roman" w:hAnsi="Times New Roman" w:cs="Times New Roman"/>
          <w:spacing w:val="-8"/>
          <w:sz w:val="28"/>
          <w:szCs w:val="28"/>
        </w:rPr>
        <w:t xml:space="preserve">спеціальні та </w:t>
      </w:r>
      <w:r w:rsidRPr="006262FB">
        <w:rPr>
          <w:rFonts w:ascii="Times New Roman" w:hAnsi="Times New Roman" w:cs="Times New Roman"/>
          <w:spacing w:val="-8"/>
          <w:sz w:val="28"/>
          <w:szCs w:val="28"/>
        </w:rPr>
        <w:t>спеціалізовані автомобілі для надання екстреної медичної допомоги</w:t>
      </w:r>
      <w:r w:rsidRPr="00E0771E">
        <w:rPr>
          <w:rFonts w:ascii="Times New Roman" w:hAnsi="Times New Roman" w:cs="Times New Roman"/>
          <w:spacing w:val="-8"/>
          <w:sz w:val="28"/>
          <w:szCs w:val="28"/>
        </w:rPr>
        <w:t>,</w:t>
      </w:r>
      <w:r w:rsidRPr="006262FB">
        <w:rPr>
          <w:rFonts w:ascii="Times New Roman" w:hAnsi="Times New Roman" w:cs="Times New Roman"/>
          <w:spacing w:val="-8"/>
          <w:sz w:val="28"/>
          <w:szCs w:val="28"/>
        </w:rPr>
        <w:t xml:space="preserve"> великогабаритні та великовагові</w:t>
      </w:r>
      <w:r w:rsidRPr="00E0771E">
        <w:rPr>
          <w:rFonts w:ascii="Times New Roman" w:hAnsi="Times New Roman" w:cs="Times New Roman"/>
          <w:spacing w:val="-8"/>
          <w:sz w:val="28"/>
          <w:szCs w:val="28"/>
        </w:rPr>
        <w:t>,</w:t>
      </w:r>
      <w:r w:rsidRPr="006262FB">
        <w:rPr>
          <w:rFonts w:ascii="Times New Roman" w:hAnsi="Times New Roman" w:cs="Times New Roman"/>
          <w:spacing w:val="-8"/>
          <w:sz w:val="28"/>
          <w:szCs w:val="28"/>
        </w:rPr>
        <w:t xml:space="preserve"> пристосовані для навчання водінню</w:t>
      </w:r>
      <w:r w:rsidRPr="00E0771E">
        <w:rPr>
          <w:rFonts w:ascii="Times New Roman" w:hAnsi="Times New Roman" w:cs="Times New Roman"/>
          <w:spacing w:val="-8"/>
          <w:sz w:val="28"/>
          <w:szCs w:val="28"/>
        </w:rPr>
        <w:t>,</w:t>
      </w:r>
      <w:r w:rsidRPr="006262FB">
        <w:rPr>
          <w:rFonts w:ascii="Times New Roman" w:hAnsi="Times New Roman" w:cs="Times New Roman"/>
          <w:spacing w:val="-8"/>
          <w:sz w:val="28"/>
          <w:szCs w:val="28"/>
        </w:rPr>
        <w:t xml:space="preserve"> призначені для перевезення небезпечних вантажів, швидкопсувних харчових продуктів та категорії О з інерційною системою гальмування, МСТО</w:t>
      </w:r>
      <w:r w:rsidR="00661C87">
        <w:rPr>
          <w:rFonts w:ascii="Times New Roman" w:hAnsi="Times New Roman" w:cs="Times New Roman"/>
          <w:spacing w:val="-8"/>
          <w:sz w:val="28"/>
          <w:szCs w:val="28"/>
        </w:rPr>
        <w:t xml:space="preserve"> (міжнародний технічний огляд)</w:t>
      </w:r>
      <w:r w:rsidRPr="00E0771E">
        <w:rPr>
          <w:rFonts w:ascii="Times New Roman" w:hAnsi="Times New Roman" w:cs="Times New Roman"/>
          <w:sz w:val="28"/>
          <w:szCs w:val="28"/>
        </w:rPr>
        <w:t>.</w:t>
      </w:r>
    </w:p>
    <w:p w14:paraId="58C7136E" w14:textId="496A1843" w:rsidR="003A1545" w:rsidRPr="006262FB" w:rsidRDefault="003A1545" w:rsidP="003A1545">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b/>
          <w:bCs/>
          <w:color w:val="333333"/>
          <w:sz w:val="28"/>
          <w:szCs w:val="28"/>
          <w:lang w:eastAsia="uk-UA"/>
        </w:rPr>
        <w:t>Що передбачає обов’язковий технічний контроль?</w:t>
      </w:r>
    </w:p>
    <w:p w14:paraId="68414770" w14:textId="77777777" w:rsidR="003A1545" w:rsidRPr="006262FB" w:rsidRDefault="003A1545" w:rsidP="006262FB">
      <w:pPr>
        <w:shd w:val="clear" w:color="auto" w:fill="FFFFFF"/>
        <w:spacing w:after="150" w:line="240" w:lineRule="auto"/>
        <w:ind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Обов’язковий технічний контроль транспортного засобу передбачає перевірку технічного стану транспортного засобу, а саме:</w:t>
      </w:r>
    </w:p>
    <w:p w14:paraId="2B5E83C8" w14:textId="77777777" w:rsidR="003A1545" w:rsidRPr="006262FB" w:rsidRDefault="003A1545" w:rsidP="00C212D7">
      <w:pPr>
        <w:numPr>
          <w:ilvl w:val="0"/>
          <w:numId w:val="1"/>
        </w:numPr>
        <w:shd w:val="clear" w:color="auto" w:fill="FFFFFF"/>
        <w:tabs>
          <w:tab w:val="clear" w:pos="720"/>
          <w:tab w:val="num" w:pos="360"/>
        </w:tabs>
        <w:spacing w:before="100" w:beforeAutospacing="1" w:after="100" w:afterAutospacing="1"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системи гальмового і рульового керування;</w:t>
      </w:r>
    </w:p>
    <w:p w14:paraId="63F25F4E" w14:textId="77777777" w:rsidR="003A1545" w:rsidRPr="006262FB" w:rsidRDefault="003A1545" w:rsidP="00C212D7">
      <w:pPr>
        <w:numPr>
          <w:ilvl w:val="0"/>
          <w:numId w:val="1"/>
        </w:numPr>
        <w:shd w:val="clear" w:color="auto" w:fill="FFFFFF"/>
        <w:tabs>
          <w:tab w:val="clear" w:pos="720"/>
          <w:tab w:val="num" w:pos="360"/>
        </w:tabs>
        <w:spacing w:before="100" w:beforeAutospacing="1" w:after="100" w:afterAutospacing="1"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зовнішніх світлових приладів;</w:t>
      </w:r>
    </w:p>
    <w:p w14:paraId="643F1065" w14:textId="77777777" w:rsidR="003A1545" w:rsidRPr="006262FB" w:rsidRDefault="003A1545" w:rsidP="00C212D7">
      <w:pPr>
        <w:numPr>
          <w:ilvl w:val="0"/>
          <w:numId w:val="1"/>
        </w:numPr>
        <w:shd w:val="clear" w:color="auto" w:fill="FFFFFF"/>
        <w:tabs>
          <w:tab w:val="clear" w:pos="720"/>
          <w:tab w:val="num" w:pos="360"/>
        </w:tabs>
        <w:spacing w:before="100" w:beforeAutospacing="1" w:after="100" w:afterAutospacing="1"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пневматичних шин та коліс;</w:t>
      </w:r>
    </w:p>
    <w:p w14:paraId="6264E375" w14:textId="77777777" w:rsidR="003A1545" w:rsidRPr="006262FB" w:rsidRDefault="003A1545" w:rsidP="00C212D7">
      <w:pPr>
        <w:numPr>
          <w:ilvl w:val="0"/>
          <w:numId w:val="1"/>
        </w:numPr>
        <w:shd w:val="clear" w:color="auto" w:fill="FFFFFF"/>
        <w:tabs>
          <w:tab w:val="clear" w:pos="720"/>
          <w:tab w:val="num" w:pos="360"/>
        </w:tabs>
        <w:spacing w:before="100" w:beforeAutospacing="1" w:after="100" w:afterAutospacing="1"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світлопропускання скла;</w:t>
      </w:r>
    </w:p>
    <w:p w14:paraId="5376E781" w14:textId="77777777" w:rsidR="003A1545" w:rsidRPr="006262FB" w:rsidRDefault="003A1545" w:rsidP="00C212D7">
      <w:pPr>
        <w:numPr>
          <w:ilvl w:val="0"/>
          <w:numId w:val="1"/>
        </w:numPr>
        <w:shd w:val="clear" w:color="auto" w:fill="FFFFFF"/>
        <w:tabs>
          <w:tab w:val="clear" w:pos="720"/>
          <w:tab w:val="num" w:pos="360"/>
        </w:tabs>
        <w:spacing w:before="100" w:beforeAutospacing="1" w:after="100" w:afterAutospacing="1"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газобалонного обладнання (за наявності);</w:t>
      </w:r>
    </w:p>
    <w:p w14:paraId="139C1E33" w14:textId="77777777" w:rsidR="003A1545" w:rsidRPr="006262FB" w:rsidRDefault="003A1545" w:rsidP="00C212D7">
      <w:pPr>
        <w:numPr>
          <w:ilvl w:val="0"/>
          <w:numId w:val="1"/>
        </w:numPr>
        <w:shd w:val="clear" w:color="auto" w:fill="FFFFFF"/>
        <w:tabs>
          <w:tab w:val="clear" w:pos="720"/>
          <w:tab w:val="num" w:pos="360"/>
        </w:tabs>
        <w:spacing w:before="100" w:beforeAutospacing="1" w:after="100" w:afterAutospacing="1"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інших елементів у частині, що безпосередньо стосується безпеки дорожнього руху та охорони навколишнього природного середовища.</w:t>
      </w:r>
    </w:p>
    <w:p w14:paraId="673F584D" w14:textId="77777777" w:rsidR="003A1545" w:rsidRPr="006262FB" w:rsidRDefault="00147302" w:rsidP="006262FB">
      <w:pPr>
        <w:shd w:val="clear" w:color="auto" w:fill="FFFFFF"/>
        <w:spacing w:after="150" w:line="240" w:lineRule="auto"/>
        <w:ind w:firstLine="426"/>
        <w:jc w:val="both"/>
        <w:rPr>
          <w:rFonts w:ascii="Times New Roman" w:eastAsia="Times New Roman" w:hAnsi="Times New Roman" w:cs="Times New Roman"/>
          <w:color w:val="333333"/>
          <w:sz w:val="28"/>
          <w:szCs w:val="28"/>
          <w:lang w:eastAsia="uk-UA"/>
        </w:rPr>
      </w:pPr>
      <w:hyperlink r:id="rId6" w:history="1">
        <w:r w:rsidR="003A1545" w:rsidRPr="006262FB">
          <w:rPr>
            <w:rFonts w:ascii="Times New Roman" w:eastAsia="Times New Roman" w:hAnsi="Times New Roman" w:cs="Times New Roman"/>
            <w:color w:val="2F5496" w:themeColor="accent1" w:themeShade="BF"/>
            <w:sz w:val="28"/>
            <w:szCs w:val="28"/>
            <w:u w:val="single"/>
            <w:lang w:eastAsia="uk-UA"/>
          </w:rPr>
          <w:t>Порядок</w:t>
        </w:r>
      </w:hyperlink>
      <w:r w:rsidR="003A1545" w:rsidRPr="006262FB">
        <w:rPr>
          <w:rFonts w:ascii="Times New Roman" w:eastAsia="Times New Roman" w:hAnsi="Times New Roman" w:cs="Times New Roman"/>
          <w:color w:val="333333"/>
          <w:sz w:val="28"/>
          <w:szCs w:val="28"/>
          <w:lang w:eastAsia="uk-UA"/>
        </w:rPr>
        <w:t> проведення обов’язкового технічного контролю та обсяги перевірки технічного стану транспортних засобів визначає Кабінет Міністрів України.</w:t>
      </w:r>
    </w:p>
    <w:p w14:paraId="2A057DCD" w14:textId="77777777" w:rsidR="007307F6" w:rsidRDefault="007307F6" w:rsidP="003A1545">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p>
    <w:p w14:paraId="3B3A76E6" w14:textId="77777777" w:rsidR="007307F6" w:rsidRDefault="007307F6" w:rsidP="003A1545">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p>
    <w:p w14:paraId="042B70A5" w14:textId="01DA3439" w:rsidR="003A1545" w:rsidRDefault="003A1545" w:rsidP="000700D1">
      <w:pPr>
        <w:shd w:val="clear" w:color="auto" w:fill="FFFFFF"/>
        <w:spacing w:after="0" w:line="240" w:lineRule="auto"/>
        <w:jc w:val="both"/>
        <w:rPr>
          <w:rFonts w:ascii="Times New Roman" w:eastAsia="Times New Roman" w:hAnsi="Times New Roman" w:cs="Times New Roman"/>
          <w:b/>
          <w:bCs/>
          <w:color w:val="333333"/>
          <w:sz w:val="28"/>
          <w:szCs w:val="28"/>
          <w:lang w:eastAsia="uk-UA"/>
        </w:rPr>
      </w:pPr>
      <w:r w:rsidRPr="006262FB">
        <w:rPr>
          <w:rFonts w:ascii="Times New Roman" w:eastAsia="Times New Roman" w:hAnsi="Times New Roman" w:cs="Times New Roman"/>
          <w:b/>
          <w:bCs/>
          <w:color w:val="333333"/>
          <w:sz w:val="28"/>
          <w:szCs w:val="28"/>
          <w:lang w:eastAsia="uk-UA"/>
        </w:rPr>
        <w:lastRenderedPageBreak/>
        <w:t>Які транспортні засоби підлягають</w:t>
      </w:r>
      <w:r w:rsidRPr="006262FB">
        <w:rPr>
          <w:rFonts w:ascii="Times New Roman" w:eastAsia="Times New Roman" w:hAnsi="Times New Roman" w:cs="Times New Roman"/>
          <w:color w:val="333333"/>
          <w:sz w:val="28"/>
          <w:szCs w:val="28"/>
          <w:lang w:eastAsia="uk-UA"/>
        </w:rPr>
        <w:t> </w:t>
      </w:r>
      <w:r w:rsidRPr="006262FB">
        <w:rPr>
          <w:rFonts w:ascii="Times New Roman" w:eastAsia="Times New Roman" w:hAnsi="Times New Roman" w:cs="Times New Roman"/>
          <w:b/>
          <w:bCs/>
          <w:color w:val="333333"/>
          <w:sz w:val="28"/>
          <w:szCs w:val="28"/>
          <w:lang w:eastAsia="uk-UA"/>
        </w:rPr>
        <w:t>обов’язковому технічному контролю</w:t>
      </w:r>
      <w:r w:rsidR="00C212D7" w:rsidRPr="006262FB">
        <w:rPr>
          <w:rFonts w:ascii="Times New Roman" w:eastAsia="Times New Roman" w:hAnsi="Times New Roman" w:cs="Times New Roman"/>
          <w:b/>
          <w:bCs/>
          <w:color w:val="333333"/>
          <w:sz w:val="28"/>
          <w:szCs w:val="28"/>
          <w:lang w:eastAsia="uk-UA"/>
        </w:rPr>
        <w:t xml:space="preserve"> та яка періодичність проходження </w:t>
      </w:r>
      <w:r w:rsidRPr="006262FB">
        <w:rPr>
          <w:rFonts w:ascii="Times New Roman" w:eastAsia="Times New Roman" w:hAnsi="Times New Roman" w:cs="Times New Roman"/>
          <w:b/>
          <w:bCs/>
          <w:color w:val="333333"/>
          <w:sz w:val="28"/>
          <w:szCs w:val="28"/>
          <w:lang w:eastAsia="uk-UA"/>
        </w:rPr>
        <w:t>?</w:t>
      </w:r>
    </w:p>
    <w:p w14:paraId="2B122D46" w14:textId="77777777" w:rsidR="00B558E8" w:rsidRPr="006262FB" w:rsidRDefault="00B558E8" w:rsidP="000700D1">
      <w:pPr>
        <w:shd w:val="clear" w:color="auto" w:fill="FFFFFF"/>
        <w:spacing w:after="0" w:line="240" w:lineRule="auto"/>
        <w:jc w:val="both"/>
        <w:rPr>
          <w:rFonts w:ascii="Times New Roman" w:eastAsia="Times New Roman" w:hAnsi="Times New Roman" w:cs="Times New Roman"/>
          <w:color w:val="333333"/>
          <w:sz w:val="28"/>
          <w:szCs w:val="28"/>
          <w:lang w:eastAsia="uk-UA"/>
        </w:rPr>
      </w:pPr>
    </w:p>
    <w:p w14:paraId="5F6E8428" w14:textId="7B111AD8" w:rsidR="00C212D7" w:rsidRPr="006262FB" w:rsidRDefault="00C212D7" w:rsidP="000700D1">
      <w:pPr>
        <w:pStyle w:val="rvps2"/>
        <w:numPr>
          <w:ilvl w:val="0"/>
          <w:numId w:val="5"/>
        </w:numPr>
        <w:shd w:val="clear" w:color="auto" w:fill="FFFFFF"/>
        <w:spacing w:before="0" w:beforeAutospacing="0" w:after="0" w:afterAutospacing="0"/>
        <w:ind w:left="0" w:firstLine="426"/>
        <w:jc w:val="both"/>
        <w:rPr>
          <w:color w:val="333333"/>
          <w:sz w:val="28"/>
          <w:szCs w:val="28"/>
        </w:rPr>
      </w:pPr>
      <w:r w:rsidRPr="006262FB">
        <w:rPr>
          <w:color w:val="333333"/>
          <w:sz w:val="28"/>
          <w:szCs w:val="28"/>
        </w:rPr>
        <w:t>легкові автомобілі, що використовуються для перевезення пасажирів або вантажів з метою отримання прибутку, із строком експлуатації більше двох років – кожні два роки;</w:t>
      </w:r>
    </w:p>
    <w:p w14:paraId="2DD0E58C" w14:textId="10DF5971" w:rsidR="00C212D7" w:rsidRPr="006262FB" w:rsidRDefault="00C212D7" w:rsidP="000700D1">
      <w:pPr>
        <w:pStyle w:val="rvps2"/>
        <w:numPr>
          <w:ilvl w:val="0"/>
          <w:numId w:val="5"/>
        </w:numPr>
        <w:shd w:val="clear" w:color="auto" w:fill="FFFFFF"/>
        <w:spacing w:before="0" w:beforeAutospacing="0" w:after="0" w:afterAutospacing="0"/>
        <w:ind w:left="0" w:firstLine="426"/>
        <w:jc w:val="both"/>
        <w:rPr>
          <w:color w:val="333333"/>
          <w:sz w:val="28"/>
          <w:szCs w:val="28"/>
        </w:rPr>
      </w:pPr>
      <w:bookmarkStart w:id="0" w:name="n32"/>
      <w:bookmarkEnd w:id="0"/>
      <w:r w:rsidRPr="006262FB">
        <w:rPr>
          <w:color w:val="333333"/>
          <w:sz w:val="28"/>
          <w:szCs w:val="28"/>
        </w:rPr>
        <w:t>вантажні автомобілі незалежно від форми власності вантажопідйомністю до 3,5 тон, причепи до них із строком експлуатації більше двох років – кожні два роки;</w:t>
      </w:r>
    </w:p>
    <w:p w14:paraId="4202FEBB" w14:textId="4EAFFC1D" w:rsidR="00C212D7" w:rsidRPr="006262FB" w:rsidRDefault="00C212D7" w:rsidP="000700D1">
      <w:pPr>
        <w:pStyle w:val="rvps2"/>
        <w:numPr>
          <w:ilvl w:val="0"/>
          <w:numId w:val="5"/>
        </w:numPr>
        <w:shd w:val="clear" w:color="auto" w:fill="FFFFFF"/>
        <w:spacing w:before="0" w:beforeAutospacing="0" w:after="0" w:afterAutospacing="0"/>
        <w:ind w:left="0" w:firstLine="426"/>
        <w:jc w:val="both"/>
        <w:rPr>
          <w:color w:val="333333"/>
          <w:sz w:val="28"/>
          <w:szCs w:val="28"/>
        </w:rPr>
      </w:pPr>
      <w:bookmarkStart w:id="1" w:name="n33"/>
      <w:bookmarkEnd w:id="1"/>
      <w:r w:rsidRPr="006262FB">
        <w:rPr>
          <w:color w:val="333333"/>
          <w:sz w:val="28"/>
          <w:szCs w:val="28"/>
        </w:rPr>
        <w:t>вантажні автомобілі вантажопідйомністю більше 3,5 тон, причеп</w:t>
      </w:r>
      <w:r w:rsidR="00794991" w:rsidRPr="006262FB">
        <w:rPr>
          <w:color w:val="333333"/>
          <w:sz w:val="28"/>
          <w:szCs w:val="28"/>
        </w:rPr>
        <w:t>и</w:t>
      </w:r>
      <w:r w:rsidRPr="006262FB">
        <w:rPr>
          <w:color w:val="333333"/>
          <w:sz w:val="28"/>
          <w:szCs w:val="28"/>
        </w:rPr>
        <w:t xml:space="preserve"> до них та таксі незалежно від строку експлуатації - щороку;</w:t>
      </w:r>
    </w:p>
    <w:p w14:paraId="118D2849" w14:textId="3DD260FB" w:rsidR="003A1545" w:rsidRDefault="00C212D7" w:rsidP="000700D1">
      <w:pPr>
        <w:pStyle w:val="rvps2"/>
        <w:numPr>
          <w:ilvl w:val="0"/>
          <w:numId w:val="5"/>
        </w:numPr>
        <w:shd w:val="clear" w:color="auto" w:fill="FFFFFF"/>
        <w:spacing w:before="0" w:beforeAutospacing="0" w:after="0" w:afterAutospacing="0"/>
        <w:ind w:left="0" w:firstLine="426"/>
        <w:jc w:val="both"/>
        <w:rPr>
          <w:color w:val="333333"/>
          <w:sz w:val="28"/>
          <w:szCs w:val="28"/>
        </w:rPr>
      </w:pPr>
      <w:bookmarkStart w:id="2" w:name="n34"/>
      <w:bookmarkEnd w:id="2"/>
      <w:r w:rsidRPr="006262FB">
        <w:rPr>
          <w:color w:val="333333"/>
          <w:sz w:val="28"/>
          <w:szCs w:val="28"/>
        </w:rPr>
        <w:t>автобуси та спеціалізовані транспортні засоби, що перевозять небезпечні вантажі, незалежно від строку експлуатації - двічі на рік.</w:t>
      </w:r>
    </w:p>
    <w:p w14:paraId="4ADF5FA4" w14:textId="735FA39B" w:rsidR="000700D1" w:rsidRPr="00B558E8" w:rsidRDefault="000700D1" w:rsidP="000700D1">
      <w:pPr>
        <w:pStyle w:val="rvps2"/>
        <w:shd w:val="clear" w:color="auto" w:fill="FFFFFF"/>
        <w:spacing w:before="0" w:beforeAutospacing="0" w:after="0" w:afterAutospacing="0"/>
        <w:jc w:val="both"/>
        <w:rPr>
          <w:color w:val="333333"/>
          <w:spacing w:val="-2"/>
          <w:sz w:val="28"/>
          <w:szCs w:val="28"/>
        </w:rPr>
      </w:pPr>
      <w:r w:rsidRPr="00B558E8">
        <w:rPr>
          <w:color w:val="333333"/>
          <w:spacing w:val="-2"/>
          <w:sz w:val="28"/>
          <w:szCs w:val="28"/>
        </w:rPr>
        <w:t xml:space="preserve">Примітка: транспортний засіб, що використовується з метою отримання прибутку - </w:t>
      </w:r>
      <w:bookmarkStart w:id="3" w:name="_GoBack"/>
      <w:bookmarkEnd w:id="3"/>
      <w:r w:rsidRPr="00B558E8">
        <w:rPr>
          <w:color w:val="333333"/>
          <w:spacing w:val="-2"/>
          <w:sz w:val="28"/>
          <w:szCs w:val="28"/>
        </w:rPr>
        <w:t>транспортний засіб (зокрема службовий легковий автомобіль), що експлуатується юридичними особами, фізичними особами - підприємцями під час провадження господарської діяльності, фізичними особами під час виконання цивільно-правових договорів з метою отримання прибутку.</w:t>
      </w:r>
    </w:p>
    <w:p w14:paraId="37146599" w14:textId="77777777" w:rsidR="00B558E8" w:rsidRPr="006262FB" w:rsidRDefault="00B558E8" w:rsidP="000700D1">
      <w:pPr>
        <w:pStyle w:val="rvps2"/>
        <w:shd w:val="clear" w:color="auto" w:fill="FFFFFF"/>
        <w:spacing w:before="0" w:beforeAutospacing="0" w:after="0" w:afterAutospacing="0"/>
        <w:jc w:val="both"/>
        <w:rPr>
          <w:color w:val="333333"/>
          <w:sz w:val="28"/>
          <w:szCs w:val="28"/>
        </w:rPr>
      </w:pPr>
    </w:p>
    <w:p w14:paraId="6F4F30CA" w14:textId="77777777" w:rsidR="003A1545" w:rsidRPr="006262FB" w:rsidRDefault="003A1545" w:rsidP="000700D1">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b/>
          <w:bCs/>
          <w:color w:val="333333"/>
          <w:sz w:val="28"/>
          <w:szCs w:val="28"/>
          <w:lang w:eastAsia="uk-UA"/>
        </w:rPr>
        <w:t>Які транспортні засоби не підлягають</w:t>
      </w:r>
      <w:r w:rsidRPr="006262FB">
        <w:rPr>
          <w:rFonts w:ascii="Times New Roman" w:eastAsia="Times New Roman" w:hAnsi="Times New Roman" w:cs="Times New Roman"/>
          <w:color w:val="333333"/>
          <w:sz w:val="28"/>
          <w:szCs w:val="28"/>
          <w:lang w:eastAsia="uk-UA"/>
        </w:rPr>
        <w:t> </w:t>
      </w:r>
      <w:r w:rsidRPr="006262FB">
        <w:rPr>
          <w:rFonts w:ascii="Times New Roman" w:eastAsia="Times New Roman" w:hAnsi="Times New Roman" w:cs="Times New Roman"/>
          <w:b/>
          <w:bCs/>
          <w:color w:val="333333"/>
          <w:sz w:val="28"/>
          <w:szCs w:val="28"/>
          <w:lang w:eastAsia="uk-UA"/>
        </w:rPr>
        <w:t>обов’язковому технічному контролю?</w:t>
      </w:r>
    </w:p>
    <w:p w14:paraId="4C0F9F08" w14:textId="77777777" w:rsidR="003A1545" w:rsidRPr="006262FB" w:rsidRDefault="003A1545" w:rsidP="000700D1">
      <w:pPr>
        <w:numPr>
          <w:ilvl w:val="0"/>
          <w:numId w:val="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легкові автомобілі усіх типів, марок і моделей, причепи (напівпричепи) до них (крім таксі та автомобілів, що використовуються для перевезення пасажирів або вантажів з метою отримання прибутку), мотоцикли, мопеди, мотоколяски та інші прирівняні до них транспортні засоби – незалежно від строку експлуатації;</w:t>
      </w:r>
    </w:p>
    <w:p w14:paraId="0E54D43F" w14:textId="77777777" w:rsidR="003A1545" w:rsidRPr="006262FB" w:rsidRDefault="003A1545" w:rsidP="000700D1">
      <w:pPr>
        <w:numPr>
          <w:ilvl w:val="0"/>
          <w:numId w:val="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легкові автомобілі, що використовуються для перевезення пасажирів або вантажів з метою отримання прибутку, вантажні автомобілі незалежно від форми власності вантажопідйомністю до 3,5 тонни, причепи до них – із строком експлуатації до двох років.</w:t>
      </w:r>
    </w:p>
    <w:p w14:paraId="675F1C4C" w14:textId="634EFAFF" w:rsidR="003A1545" w:rsidRDefault="003A1545" w:rsidP="000700D1">
      <w:pPr>
        <w:numPr>
          <w:ilvl w:val="0"/>
          <w:numId w:val="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color w:val="333333"/>
          <w:sz w:val="28"/>
          <w:szCs w:val="28"/>
          <w:lang w:eastAsia="uk-UA"/>
        </w:rPr>
        <w:t>технічні засоби для агропромислового комплексу, визначені </w:t>
      </w:r>
      <w:hyperlink r:id="rId7" w:history="1">
        <w:r w:rsidRPr="006262FB">
          <w:rPr>
            <w:rFonts w:ascii="Times New Roman" w:eastAsia="Times New Roman" w:hAnsi="Times New Roman" w:cs="Times New Roman"/>
            <w:color w:val="2F5496" w:themeColor="accent1" w:themeShade="BF"/>
            <w:sz w:val="28"/>
            <w:szCs w:val="28"/>
            <w:u w:val="single"/>
            <w:lang w:eastAsia="uk-UA"/>
          </w:rPr>
          <w:t>Законом України</w:t>
        </w:r>
        <w:r w:rsidR="00147302">
          <w:rPr>
            <w:rFonts w:ascii="Times New Roman" w:eastAsia="Times New Roman" w:hAnsi="Times New Roman" w:cs="Times New Roman"/>
            <w:color w:val="2F5496" w:themeColor="accent1" w:themeShade="BF"/>
            <w:sz w:val="28"/>
            <w:szCs w:val="28"/>
            <w:u w:val="single"/>
            <w:lang w:eastAsia="uk-UA"/>
          </w:rPr>
          <w:t xml:space="preserve"> </w:t>
        </w:r>
        <w:r w:rsidRPr="006262FB">
          <w:rPr>
            <w:rFonts w:ascii="Times New Roman" w:eastAsia="Times New Roman" w:hAnsi="Times New Roman" w:cs="Times New Roman"/>
            <w:color w:val="2F5496" w:themeColor="accent1" w:themeShade="BF"/>
            <w:sz w:val="28"/>
            <w:szCs w:val="28"/>
            <w:u w:val="single"/>
            <w:lang w:eastAsia="uk-UA"/>
          </w:rPr>
          <w:t>«Про систему інженерно-технічного забезпечення агропромислового комплексу України»</w:t>
        </w:r>
      </w:hyperlink>
      <w:r w:rsidRPr="006262FB">
        <w:rPr>
          <w:rFonts w:ascii="Times New Roman" w:eastAsia="Times New Roman" w:hAnsi="Times New Roman" w:cs="Times New Roman"/>
          <w:color w:val="333333"/>
          <w:sz w:val="28"/>
          <w:szCs w:val="28"/>
          <w:lang w:eastAsia="uk-UA"/>
        </w:rPr>
        <w:t>.</w:t>
      </w:r>
    </w:p>
    <w:p w14:paraId="6EB09F1D" w14:textId="77777777" w:rsidR="00B558E8" w:rsidRPr="006262FB" w:rsidRDefault="00B558E8" w:rsidP="00147302">
      <w:pPr>
        <w:shd w:val="clear" w:color="auto" w:fill="FFFFFF"/>
        <w:spacing w:after="0" w:line="240" w:lineRule="auto"/>
        <w:ind w:left="426"/>
        <w:jc w:val="both"/>
        <w:rPr>
          <w:rFonts w:ascii="Times New Roman" w:eastAsia="Times New Roman" w:hAnsi="Times New Roman" w:cs="Times New Roman"/>
          <w:color w:val="333333"/>
          <w:sz w:val="28"/>
          <w:szCs w:val="28"/>
          <w:lang w:eastAsia="uk-UA"/>
        </w:rPr>
      </w:pPr>
    </w:p>
    <w:p w14:paraId="10D76F6B" w14:textId="1435DD94" w:rsidR="003A1545" w:rsidRPr="006262FB" w:rsidRDefault="003A1545" w:rsidP="000700D1">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6262FB">
        <w:rPr>
          <w:rFonts w:ascii="Times New Roman" w:eastAsia="Times New Roman" w:hAnsi="Times New Roman" w:cs="Times New Roman"/>
          <w:b/>
          <w:bCs/>
          <w:color w:val="333333"/>
          <w:sz w:val="28"/>
          <w:szCs w:val="28"/>
          <w:lang w:eastAsia="uk-UA"/>
        </w:rPr>
        <w:t>Які правові підстави здійснення обов’язкового технічного контролю?</w:t>
      </w:r>
    </w:p>
    <w:p w14:paraId="33DA1977" w14:textId="0C666E7E" w:rsidR="003A1545" w:rsidRPr="006262FB" w:rsidRDefault="00147302" w:rsidP="000700D1">
      <w:pPr>
        <w:numPr>
          <w:ilvl w:val="1"/>
          <w:numId w:val="4"/>
        </w:numPr>
        <w:shd w:val="clear" w:color="auto" w:fill="FFFFFF"/>
        <w:tabs>
          <w:tab w:val="clear" w:pos="1440"/>
          <w:tab w:val="num" w:pos="1134"/>
        </w:tabs>
        <w:spacing w:after="0" w:line="240" w:lineRule="auto"/>
        <w:ind w:left="0" w:firstLine="426"/>
        <w:jc w:val="both"/>
        <w:rPr>
          <w:rFonts w:ascii="Times New Roman" w:eastAsia="Times New Roman" w:hAnsi="Times New Roman" w:cs="Times New Roman"/>
          <w:color w:val="2F5496" w:themeColor="accent1" w:themeShade="BF"/>
          <w:sz w:val="28"/>
          <w:szCs w:val="28"/>
          <w:lang w:eastAsia="uk-UA"/>
        </w:rPr>
      </w:pPr>
      <w:hyperlink r:id="rId8" w:history="1">
        <w:r w:rsidR="003A1545" w:rsidRPr="006262FB">
          <w:rPr>
            <w:rFonts w:ascii="Times New Roman" w:eastAsia="Times New Roman" w:hAnsi="Times New Roman" w:cs="Times New Roman"/>
            <w:color w:val="2F5496" w:themeColor="accent1" w:themeShade="BF"/>
            <w:sz w:val="28"/>
            <w:szCs w:val="28"/>
            <w:u w:val="single"/>
            <w:lang w:eastAsia="uk-UA"/>
          </w:rPr>
          <w:t>Закон України «Про дорожній рух» (стаття 35)</w:t>
        </w:r>
      </w:hyperlink>
      <w:r w:rsidR="003A1545" w:rsidRPr="006262FB">
        <w:rPr>
          <w:rFonts w:ascii="Times New Roman" w:eastAsia="Times New Roman" w:hAnsi="Times New Roman" w:cs="Times New Roman"/>
          <w:color w:val="2F5496" w:themeColor="accent1" w:themeShade="BF"/>
          <w:sz w:val="28"/>
          <w:szCs w:val="28"/>
          <w:lang w:eastAsia="uk-UA"/>
        </w:rPr>
        <w:t>;</w:t>
      </w:r>
    </w:p>
    <w:p w14:paraId="510FA98B" w14:textId="77777777" w:rsidR="003A1545" w:rsidRPr="006262FB" w:rsidRDefault="00147302" w:rsidP="000700D1">
      <w:pPr>
        <w:numPr>
          <w:ilvl w:val="1"/>
          <w:numId w:val="4"/>
        </w:numPr>
        <w:shd w:val="clear" w:color="auto" w:fill="FFFFFF"/>
        <w:tabs>
          <w:tab w:val="clear" w:pos="1440"/>
          <w:tab w:val="num" w:pos="1134"/>
        </w:tabs>
        <w:spacing w:after="0" w:line="240" w:lineRule="auto"/>
        <w:ind w:left="0" w:firstLine="426"/>
        <w:jc w:val="both"/>
        <w:rPr>
          <w:rFonts w:ascii="Times New Roman" w:eastAsia="Times New Roman" w:hAnsi="Times New Roman" w:cs="Times New Roman"/>
          <w:color w:val="2F5496" w:themeColor="accent1" w:themeShade="BF"/>
          <w:sz w:val="28"/>
          <w:szCs w:val="28"/>
          <w:lang w:eastAsia="uk-UA"/>
        </w:rPr>
      </w:pPr>
      <w:hyperlink r:id="rId9" w:history="1">
        <w:r w:rsidR="003A1545" w:rsidRPr="006262FB">
          <w:rPr>
            <w:rFonts w:ascii="Times New Roman" w:eastAsia="Times New Roman" w:hAnsi="Times New Roman" w:cs="Times New Roman"/>
            <w:color w:val="2F5496" w:themeColor="accent1" w:themeShade="BF"/>
            <w:sz w:val="28"/>
            <w:szCs w:val="28"/>
            <w:u w:val="single"/>
            <w:lang w:eastAsia="uk-UA"/>
          </w:rPr>
          <w:t>Постанова Кабінету Міністрів України від 30 січня 2012 року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hyperlink>
    </w:p>
    <w:p w14:paraId="60E825FE" w14:textId="77777777" w:rsidR="003A1545" w:rsidRPr="006262FB" w:rsidRDefault="00147302" w:rsidP="000700D1">
      <w:pPr>
        <w:numPr>
          <w:ilvl w:val="1"/>
          <w:numId w:val="4"/>
        </w:numPr>
        <w:shd w:val="clear" w:color="auto" w:fill="FFFFFF"/>
        <w:tabs>
          <w:tab w:val="clear" w:pos="1440"/>
          <w:tab w:val="num" w:pos="1134"/>
        </w:tabs>
        <w:spacing w:after="0" w:line="240" w:lineRule="auto"/>
        <w:ind w:left="0" w:firstLine="426"/>
        <w:jc w:val="both"/>
        <w:rPr>
          <w:rFonts w:ascii="Times New Roman" w:eastAsia="Times New Roman" w:hAnsi="Times New Roman" w:cs="Times New Roman"/>
          <w:color w:val="2F5496" w:themeColor="accent1" w:themeShade="BF"/>
          <w:sz w:val="28"/>
          <w:szCs w:val="28"/>
          <w:lang w:eastAsia="uk-UA"/>
        </w:rPr>
      </w:pPr>
      <w:hyperlink r:id="rId10" w:history="1">
        <w:r w:rsidR="003A1545" w:rsidRPr="006262FB">
          <w:rPr>
            <w:rFonts w:ascii="Times New Roman" w:eastAsia="Times New Roman" w:hAnsi="Times New Roman" w:cs="Times New Roman"/>
            <w:color w:val="2F5496" w:themeColor="accent1" w:themeShade="BF"/>
            <w:sz w:val="28"/>
            <w:szCs w:val="28"/>
            <w:u w:val="single"/>
            <w:lang w:eastAsia="uk-UA"/>
          </w:rPr>
          <w:t>Постанова Кабінету Міністрів України від 31 травня 2012 року № 512 «Про затвердження Порядку формування загальнодержавної бази даних про результати обов’язкового технічного контролю транспортних засобів, доступу до неї та встановлення розміру плати за надання таких послуг»</w:t>
        </w:r>
      </w:hyperlink>
      <w:hyperlink r:id="rId11" w:history="1">
        <w:r w:rsidR="003A1545" w:rsidRPr="006262FB">
          <w:rPr>
            <w:rFonts w:ascii="Times New Roman" w:eastAsia="Times New Roman" w:hAnsi="Times New Roman" w:cs="Times New Roman"/>
            <w:color w:val="2F5496" w:themeColor="accent1" w:themeShade="BF"/>
            <w:sz w:val="28"/>
            <w:szCs w:val="28"/>
            <w:u w:val="single"/>
            <w:lang w:eastAsia="uk-UA"/>
          </w:rPr>
          <w:t>;</w:t>
        </w:r>
      </w:hyperlink>
    </w:p>
    <w:p w14:paraId="45065BB6" w14:textId="77777777" w:rsidR="003A1545" w:rsidRPr="002D3052" w:rsidRDefault="00147302" w:rsidP="000700D1">
      <w:pPr>
        <w:numPr>
          <w:ilvl w:val="1"/>
          <w:numId w:val="4"/>
        </w:numPr>
        <w:shd w:val="clear" w:color="auto" w:fill="FFFFFF"/>
        <w:tabs>
          <w:tab w:val="clear" w:pos="1440"/>
          <w:tab w:val="num" w:pos="1134"/>
        </w:tabs>
        <w:spacing w:after="0" w:line="240" w:lineRule="auto"/>
        <w:ind w:left="0" w:firstLine="426"/>
        <w:jc w:val="both"/>
        <w:rPr>
          <w:rFonts w:ascii="Times New Roman" w:eastAsia="Times New Roman" w:hAnsi="Times New Roman" w:cs="Times New Roman"/>
          <w:color w:val="2F5496" w:themeColor="accent1" w:themeShade="BF"/>
          <w:spacing w:val="-2"/>
          <w:sz w:val="28"/>
          <w:szCs w:val="28"/>
          <w:lang w:eastAsia="uk-UA"/>
        </w:rPr>
      </w:pPr>
      <w:hyperlink r:id="rId12" w:history="1">
        <w:r w:rsidR="003A1545" w:rsidRPr="002D3052">
          <w:rPr>
            <w:rFonts w:ascii="Times New Roman" w:eastAsia="Times New Roman" w:hAnsi="Times New Roman" w:cs="Times New Roman"/>
            <w:color w:val="2F5496" w:themeColor="accent1" w:themeShade="BF"/>
            <w:spacing w:val="-2"/>
            <w:sz w:val="28"/>
            <w:szCs w:val="28"/>
            <w:u w:val="single"/>
            <w:lang w:eastAsia="uk-UA"/>
          </w:rPr>
          <w:t>Наказ Міністерства внутрішніх справ України від 28 серпня 2019  № 736 «Про затвердження Порядку ведення реєстру суб’єктів проведення обов’язкового технічного контролю».</w:t>
        </w:r>
      </w:hyperlink>
    </w:p>
    <w:p w14:paraId="1FF9382D" w14:textId="4EB4D395" w:rsidR="003A1545" w:rsidRPr="00B558E8" w:rsidRDefault="003A1545" w:rsidP="000700D1">
      <w:pPr>
        <w:numPr>
          <w:ilvl w:val="1"/>
          <w:numId w:val="4"/>
        </w:numPr>
        <w:shd w:val="clear" w:color="auto" w:fill="FFFFFF"/>
        <w:tabs>
          <w:tab w:val="clear" w:pos="1440"/>
          <w:tab w:val="num" w:pos="1134"/>
        </w:tabs>
        <w:spacing w:after="0" w:line="240" w:lineRule="auto"/>
        <w:ind w:left="0" w:firstLine="426"/>
        <w:jc w:val="both"/>
        <w:rPr>
          <w:rFonts w:ascii="Times New Roman" w:eastAsia="Times New Roman" w:hAnsi="Times New Roman" w:cs="Times New Roman"/>
          <w:color w:val="2F5496" w:themeColor="accent1" w:themeShade="BF"/>
          <w:sz w:val="28"/>
          <w:szCs w:val="28"/>
          <w:lang w:eastAsia="uk-UA"/>
        </w:rPr>
      </w:pPr>
      <w:r w:rsidRPr="006262FB">
        <w:rPr>
          <w:rFonts w:ascii="Times New Roman" w:eastAsia="Times New Roman" w:hAnsi="Times New Roman" w:cs="Times New Roman"/>
          <w:color w:val="2F5496" w:themeColor="accent1" w:themeShade="BF"/>
          <w:sz w:val="28"/>
          <w:szCs w:val="28"/>
          <w:u w:val="single"/>
          <w:lang w:eastAsia="uk-UA"/>
        </w:rPr>
        <w:t>Наказ Міністерства внутрішніх справ України від 06 листопада 2019 року № 928 «Про затвердження Порядку проведення моніторингу інформації про результати обов’язкового технічного контролю, що передається суб’єктами здійснення обов’язкового технічного контролю до</w:t>
      </w:r>
      <w:r w:rsidR="007307F6">
        <w:rPr>
          <w:rFonts w:ascii="Times New Roman" w:eastAsia="Times New Roman" w:hAnsi="Times New Roman" w:cs="Times New Roman"/>
          <w:color w:val="2F5496" w:themeColor="accent1" w:themeShade="BF"/>
          <w:sz w:val="28"/>
          <w:szCs w:val="28"/>
          <w:u w:val="single"/>
          <w:lang w:eastAsia="uk-UA"/>
        </w:rPr>
        <w:t xml:space="preserve"> загальнодержавної бази даних».</w:t>
      </w:r>
    </w:p>
    <w:p w14:paraId="0A25CD55" w14:textId="77777777" w:rsidR="00B558E8" w:rsidRPr="006262FB" w:rsidRDefault="00B558E8" w:rsidP="00B558E8">
      <w:pPr>
        <w:shd w:val="clear" w:color="auto" w:fill="FFFFFF"/>
        <w:spacing w:after="0" w:line="240" w:lineRule="auto"/>
        <w:ind w:left="426"/>
        <w:jc w:val="both"/>
        <w:rPr>
          <w:rFonts w:ascii="Times New Roman" w:eastAsia="Times New Roman" w:hAnsi="Times New Roman" w:cs="Times New Roman"/>
          <w:color w:val="2F5496" w:themeColor="accent1" w:themeShade="BF"/>
          <w:sz w:val="28"/>
          <w:szCs w:val="28"/>
          <w:lang w:eastAsia="uk-UA"/>
        </w:rPr>
      </w:pPr>
    </w:p>
    <w:p w14:paraId="1B790A76" w14:textId="77777777" w:rsidR="007B3CB4" w:rsidRPr="006262FB" w:rsidRDefault="007B3CB4" w:rsidP="000700D1">
      <w:pPr>
        <w:spacing w:after="0"/>
        <w:jc w:val="both"/>
        <w:rPr>
          <w:rFonts w:ascii="Times New Roman" w:hAnsi="Times New Roman" w:cs="Times New Roman"/>
          <w:i/>
          <w:sz w:val="28"/>
          <w:szCs w:val="28"/>
        </w:rPr>
      </w:pPr>
      <w:r w:rsidRPr="006262FB">
        <w:rPr>
          <w:rStyle w:val="a7"/>
          <w:rFonts w:ascii="Times New Roman" w:hAnsi="Times New Roman" w:cs="Times New Roman"/>
          <w:b/>
          <w:bCs/>
          <w:i w:val="0"/>
          <w:sz w:val="28"/>
          <w:szCs w:val="28"/>
          <w:shd w:val="clear" w:color="auto" w:fill="FBFDFF"/>
        </w:rPr>
        <w:t>Для проходження перевірки технічного стану транспортних засобів під час ОТК необхідно:</w:t>
      </w:r>
    </w:p>
    <w:p w14:paraId="0D92FF67" w14:textId="19737B46" w:rsidR="007B3CB4" w:rsidRPr="006262FB" w:rsidRDefault="003E4968" w:rsidP="000700D1">
      <w:pPr>
        <w:numPr>
          <w:ilvl w:val="0"/>
          <w:numId w:val="6"/>
        </w:numPr>
        <w:shd w:val="clear" w:color="auto" w:fill="FBFDFF"/>
        <w:tabs>
          <w:tab w:val="clear" w:pos="720"/>
          <w:tab w:val="num" w:pos="360"/>
        </w:tabs>
        <w:spacing w:after="0" w:line="240" w:lineRule="auto"/>
        <w:ind w:left="0" w:firstLine="426"/>
        <w:jc w:val="both"/>
        <w:rPr>
          <w:rFonts w:ascii="Times New Roman" w:hAnsi="Times New Roman" w:cs="Times New Roman"/>
          <w:color w:val="212529"/>
          <w:sz w:val="28"/>
          <w:szCs w:val="28"/>
        </w:rPr>
      </w:pPr>
      <w:r w:rsidRPr="006262FB">
        <w:rPr>
          <w:rFonts w:ascii="Times New Roman" w:hAnsi="Times New Roman" w:cs="Times New Roman"/>
          <w:color w:val="212529"/>
          <w:sz w:val="28"/>
          <w:szCs w:val="28"/>
        </w:rPr>
        <w:t>п</w:t>
      </w:r>
      <w:r w:rsidR="007B3CB4" w:rsidRPr="006262FB">
        <w:rPr>
          <w:rFonts w:ascii="Times New Roman" w:hAnsi="Times New Roman" w:cs="Times New Roman"/>
          <w:color w:val="212529"/>
          <w:sz w:val="28"/>
          <w:szCs w:val="28"/>
        </w:rPr>
        <w:t>одати</w:t>
      </w:r>
      <w:r w:rsidRPr="006262FB">
        <w:rPr>
          <w:rFonts w:ascii="Times New Roman" w:hAnsi="Times New Roman" w:cs="Times New Roman"/>
          <w:color w:val="212529"/>
          <w:sz w:val="28"/>
          <w:szCs w:val="28"/>
        </w:rPr>
        <w:t xml:space="preserve"> </w:t>
      </w:r>
      <w:r w:rsidRPr="002D3052">
        <w:rPr>
          <w:rFonts w:ascii="Times New Roman" w:hAnsi="Times New Roman" w:cs="Times New Roman"/>
          <w:color w:val="2F5496" w:themeColor="accent1" w:themeShade="BF"/>
          <w:sz w:val="28"/>
          <w:szCs w:val="28"/>
        </w:rPr>
        <w:t>ЗАЯВУ</w:t>
      </w:r>
      <w:r w:rsidRPr="006262FB">
        <w:rPr>
          <w:rFonts w:ascii="Times New Roman" w:hAnsi="Times New Roman" w:cs="Times New Roman"/>
          <w:color w:val="212529"/>
          <w:sz w:val="28"/>
          <w:szCs w:val="28"/>
        </w:rPr>
        <w:t xml:space="preserve"> (додається) </w:t>
      </w:r>
      <w:r w:rsidR="007B3CB4" w:rsidRPr="006262FB">
        <w:rPr>
          <w:rFonts w:ascii="Times New Roman" w:hAnsi="Times New Roman" w:cs="Times New Roman"/>
          <w:color w:val="212529"/>
          <w:sz w:val="28"/>
          <w:szCs w:val="28"/>
        </w:rPr>
        <w:t xml:space="preserve">про проведення робіт з обов’язкового технічного контролю транспортного засобу (за </w:t>
      </w:r>
      <w:proofErr w:type="spellStart"/>
      <w:r w:rsidR="007B3CB4" w:rsidRPr="006262FB">
        <w:rPr>
          <w:rFonts w:ascii="Times New Roman" w:hAnsi="Times New Roman" w:cs="Times New Roman"/>
          <w:color w:val="212529"/>
          <w:sz w:val="28"/>
          <w:szCs w:val="28"/>
        </w:rPr>
        <w:t>адресою</w:t>
      </w:r>
      <w:proofErr w:type="spellEnd"/>
      <w:r w:rsidR="007B3CB4" w:rsidRPr="006262FB">
        <w:rPr>
          <w:rFonts w:ascii="Times New Roman" w:hAnsi="Times New Roman" w:cs="Times New Roman"/>
          <w:color w:val="212529"/>
          <w:sz w:val="28"/>
          <w:szCs w:val="28"/>
        </w:rPr>
        <w:t>: м. Київ, вул.</w:t>
      </w:r>
      <w:r w:rsidR="006262FB">
        <w:rPr>
          <w:rFonts w:ascii="Times New Roman" w:hAnsi="Times New Roman" w:cs="Times New Roman"/>
          <w:color w:val="212529"/>
          <w:sz w:val="28"/>
          <w:szCs w:val="28"/>
        </w:rPr>
        <w:t xml:space="preserve"> </w:t>
      </w:r>
      <w:r w:rsidR="007B3CB4" w:rsidRPr="006262FB">
        <w:rPr>
          <w:rFonts w:ascii="Times New Roman" w:hAnsi="Times New Roman" w:cs="Times New Roman"/>
          <w:color w:val="212529"/>
          <w:sz w:val="28"/>
          <w:szCs w:val="28"/>
        </w:rPr>
        <w:t xml:space="preserve">Мрії, 19, </w:t>
      </w:r>
      <w:proofErr w:type="spellStart"/>
      <w:r w:rsidR="007B3CB4" w:rsidRPr="006262FB">
        <w:rPr>
          <w:rFonts w:ascii="Times New Roman" w:hAnsi="Times New Roman" w:cs="Times New Roman"/>
          <w:color w:val="212529"/>
          <w:sz w:val="28"/>
          <w:szCs w:val="28"/>
        </w:rPr>
        <w:t>тел</w:t>
      </w:r>
      <w:proofErr w:type="spellEnd"/>
      <w:r w:rsidR="007B3CB4" w:rsidRPr="006262FB">
        <w:rPr>
          <w:rFonts w:ascii="Times New Roman" w:hAnsi="Times New Roman" w:cs="Times New Roman"/>
          <w:color w:val="212529"/>
          <w:sz w:val="28"/>
          <w:szCs w:val="28"/>
        </w:rPr>
        <w:t>. 044 374 34 32</w:t>
      </w:r>
      <w:r w:rsidR="006262FB">
        <w:rPr>
          <w:rFonts w:ascii="Times New Roman" w:hAnsi="Times New Roman" w:cs="Times New Roman"/>
          <w:color w:val="212529"/>
          <w:sz w:val="28"/>
          <w:szCs w:val="28"/>
        </w:rPr>
        <w:t xml:space="preserve">, </w:t>
      </w:r>
      <w:r w:rsidR="006262FB" w:rsidRPr="006262FB">
        <w:rPr>
          <w:rFonts w:ascii="Times New Roman" w:hAnsi="Times New Roman" w:cs="Times New Roman"/>
          <w:color w:val="212529"/>
          <w:sz w:val="28"/>
          <w:szCs w:val="28"/>
        </w:rPr>
        <w:t>044 374 34 </w:t>
      </w:r>
      <w:r w:rsidR="006262FB">
        <w:rPr>
          <w:rFonts w:ascii="Times New Roman" w:hAnsi="Times New Roman" w:cs="Times New Roman"/>
          <w:color w:val="212529"/>
          <w:sz w:val="28"/>
          <w:szCs w:val="28"/>
        </w:rPr>
        <w:t>06</w:t>
      </w:r>
      <w:r w:rsidR="007B3CB4" w:rsidRPr="006262FB">
        <w:rPr>
          <w:rFonts w:ascii="Times New Roman" w:hAnsi="Times New Roman" w:cs="Times New Roman"/>
          <w:color w:val="212529"/>
          <w:sz w:val="28"/>
          <w:szCs w:val="28"/>
        </w:rPr>
        <w:t xml:space="preserve"> або направити її на e-</w:t>
      </w:r>
      <w:proofErr w:type="spellStart"/>
      <w:r w:rsidR="007B3CB4" w:rsidRPr="006262FB">
        <w:rPr>
          <w:rFonts w:ascii="Times New Roman" w:hAnsi="Times New Roman" w:cs="Times New Roman"/>
          <w:color w:val="212529"/>
          <w:sz w:val="28"/>
          <w:szCs w:val="28"/>
        </w:rPr>
        <w:t>mail</w:t>
      </w:r>
      <w:proofErr w:type="spellEnd"/>
      <w:r w:rsidR="007B3CB4" w:rsidRPr="006262FB">
        <w:rPr>
          <w:rFonts w:ascii="Times New Roman" w:hAnsi="Times New Roman" w:cs="Times New Roman"/>
          <w:color w:val="212529"/>
          <w:sz w:val="28"/>
          <w:szCs w:val="28"/>
        </w:rPr>
        <w:t>: </w:t>
      </w:r>
      <w:hyperlink r:id="rId13" w:history="1">
        <w:r w:rsidR="007B3CB4" w:rsidRPr="006262FB">
          <w:rPr>
            <w:rStyle w:val="a5"/>
            <w:rFonts w:ascii="Times New Roman" w:hAnsi="Times New Roman" w:cs="Times New Roman"/>
            <w:color w:val="auto"/>
            <w:sz w:val="28"/>
            <w:szCs w:val="28"/>
            <w:u w:val="none"/>
            <w:bdr w:val="none" w:sz="0" w:space="0" w:color="auto" w:frame="1"/>
          </w:rPr>
          <w:t>dndekc@mvs.gov.ua</w:t>
        </w:r>
      </w:hyperlink>
      <w:r w:rsidR="007B3CB4" w:rsidRPr="006262FB">
        <w:rPr>
          <w:rFonts w:ascii="Times New Roman" w:hAnsi="Times New Roman" w:cs="Times New Roman"/>
          <w:color w:val="212529"/>
          <w:sz w:val="28"/>
          <w:szCs w:val="28"/>
        </w:rPr>
        <w:t>;</w:t>
      </w:r>
    </w:p>
    <w:p w14:paraId="5B5CBE2D" w14:textId="77777777" w:rsidR="007B3CB4" w:rsidRPr="006262FB" w:rsidRDefault="007B3CB4" w:rsidP="000700D1">
      <w:pPr>
        <w:numPr>
          <w:ilvl w:val="0"/>
          <w:numId w:val="6"/>
        </w:numPr>
        <w:shd w:val="clear" w:color="auto" w:fill="FBFDFF"/>
        <w:tabs>
          <w:tab w:val="clear" w:pos="720"/>
          <w:tab w:val="num" w:pos="360"/>
        </w:tabs>
        <w:spacing w:after="0" w:line="240" w:lineRule="auto"/>
        <w:ind w:left="0" w:firstLine="426"/>
        <w:jc w:val="both"/>
        <w:rPr>
          <w:rFonts w:ascii="Times New Roman" w:hAnsi="Times New Roman" w:cs="Times New Roman"/>
          <w:color w:val="212529"/>
          <w:sz w:val="28"/>
          <w:szCs w:val="28"/>
        </w:rPr>
      </w:pPr>
      <w:r w:rsidRPr="006262FB">
        <w:rPr>
          <w:rFonts w:ascii="Times New Roman" w:hAnsi="Times New Roman" w:cs="Times New Roman"/>
          <w:color w:val="212529"/>
          <w:sz w:val="28"/>
          <w:szCs w:val="28"/>
        </w:rPr>
        <w:t>надати свідоцтво про реєстрацію транспортного засобу;</w:t>
      </w:r>
    </w:p>
    <w:p w14:paraId="0FF8A130" w14:textId="77777777" w:rsidR="007B3CB4" w:rsidRPr="006262FB" w:rsidRDefault="007B3CB4" w:rsidP="000700D1">
      <w:pPr>
        <w:numPr>
          <w:ilvl w:val="0"/>
          <w:numId w:val="6"/>
        </w:numPr>
        <w:shd w:val="clear" w:color="auto" w:fill="FBFDFF"/>
        <w:tabs>
          <w:tab w:val="clear" w:pos="720"/>
          <w:tab w:val="num" w:pos="360"/>
        </w:tabs>
        <w:spacing w:after="0" w:line="240" w:lineRule="auto"/>
        <w:ind w:left="0" w:firstLine="426"/>
        <w:jc w:val="both"/>
        <w:rPr>
          <w:rFonts w:ascii="Times New Roman" w:hAnsi="Times New Roman" w:cs="Times New Roman"/>
          <w:color w:val="212529"/>
          <w:sz w:val="28"/>
          <w:szCs w:val="28"/>
        </w:rPr>
      </w:pPr>
      <w:r w:rsidRPr="006262FB">
        <w:rPr>
          <w:rFonts w:ascii="Times New Roman" w:hAnsi="Times New Roman" w:cs="Times New Roman"/>
          <w:color w:val="212529"/>
          <w:sz w:val="28"/>
          <w:szCs w:val="28"/>
        </w:rPr>
        <w:t>надати паспорт або інший документ, що посвідчує особу (у разі подання документів уповноваженою особою така особа, крім документа, що зазначений в цьому абзаці, пред’являє виконавцю документ, що підтверджує її повноваження);</w:t>
      </w:r>
    </w:p>
    <w:p w14:paraId="504C63F0" w14:textId="3F0286CB" w:rsidR="007B3CB4" w:rsidRPr="002D3052" w:rsidRDefault="007B3CB4" w:rsidP="000700D1">
      <w:pPr>
        <w:numPr>
          <w:ilvl w:val="0"/>
          <w:numId w:val="6"/>
        </w:numPr>
        <w:shd w:val="clear" w:color="auto" w:fill="FBFDFF"/>
        <w:tabs>
          <w:tab w:val="clear" w:pos="720"/>
          <w:tab w:val="num" w:pos="360"/>
        </w:tabs>
        <w:spacing w:after="0" w:line="240" w:lineRule="auto"/>
        <w:ind w:left="0" w:firstLine="426"/>
        <w:jc w:val="both"/>
        <w:rPr>
          <w:rFonts w:ascii="Times New Roman" w:hAnsi="Times New Roman" w:cs="Times New Roman"/>
          <w:color w:val="212529"/>
          <w:spacing w:val="-4"/>
          <w:sz w:val="28"/>
          <w:szCs w:val="28"/>
        </w:rPr>
      </w:pPr>
      <w:r w:rsidRPr="002D3052">
        <w:rPr>
          <w:rFonts w:ascii="Times New Roman" w:hAnsi="Times New Roman" w:cs="Times New Roman"/>
          <w:color w:val="212529"/>
          <w:spacing w:val="-4"/>
          <w:sz w:val="28"/>
          <w:szCs w:val="28"/>
        </w:rPr>
        <w:t xml:space="preserve">оплатити </w:t>
      </w:r>
      <w:r w:rsidR="002D3052" w:rsidRPr="002D3052">
        <w:rPr>
          <w:rFonts w:ascii="Times New Roman" w:hAnsi="Times New Roman" w:cs="Times New Roman"/>
          <w:color w:val="212529"/>
          <w:spacing w:val="-4"/>
          <w:sz w:val="28"/>
          <w:szCs w:val="28"/>
        </w:rPr>
        <w:t>послуги</w:t>
      </w:r>
      <w:r w:rsidRPr="002D3052">
        <w:rPr>
          <w:rFonts w:ascii="Times New Roman" w:hAnsi="Times New Roman" w:cs="Times New Roman"/>
          <w:color w:val="212529"/>
          <w:spacing w:val="-4"/>
          <w:sz w:val="28"/>
          <w:szCs w:val="28"/>
        </w:rPr>
        <w:t xml:space="preserve"> з ОТК</w:t>
      </w:r>
      <w:r w:rsidR="003E4968" w:rsidRPr="00E0771E">
        <w:rPr>
          <w:rFonts w:ascii="Times New Roman" w:hAnsi="Times New Roman" w:cs="Times New Roman"/>
          <w:color w:val="212529"/>
          <w:spacing w:val="-4"/>
          <w:sz w:val="28"/>
          <w:szCs w:val="28"/>
          <w:lang w:val="ru-RU"/>
        </w:rPr>
        <w:t xml:space="preserve"> </w:t>
      </w:r>
      <w:r w:rsidR="003E4968" w:rsidRPr="002D3052">
        <w:rPr>
          <w:rFonts w:ascii="Times New Roman" w:hAnsi="Times New Roman" w:cs="Times New Roman"/>
          <w:color w:val="2F5496" w:themeColor="accent1" w:themeShade="BF"/>
          <w:spacing w:val="-4"/>
          <w:sz w:val="28"/>
          <w:szCs w:val="28"/>
        </w:rPr>
        <w:t>ЗАВАНТАЖИТИ ВАРТІ</w:t>
      </w:r>
      <w:r w:rsidR="006262FB" w:rsidRPr="002D3052">
        <w:rPr>
          <w:rFonts w:ascii="Times New Roman" w:hAnsi="Times New Roman" w:cs="Times New Roman"/>
          <w:color w:val="2F5496" w:themeColor="accent1" w:themeShade="BF"/>
          <w:spacing w:val="-4"/>
          <w:sz w:val="28"/>
          <w:szCs w:val="28"/>
        </w:rPr>
        <w:t>С</w:t>
      </w:r>
      <w:r w:rsidR="003E4968" w:rsidRPr="002D3052">
        <w:rPr>
          <w:rFonts w:ascii="Times New Roman" w:hAnsi="Times New Roman" w:cs="Times New Roman"/>
          <w:color w:val="2F5496" w:themeColor="accent1" w:themeShade="BF"/>
          <w:spacing w:val="-4"/>
          <w:sz w:val="28"/>
          <w:szCs w:val="28"/>
        </w:rPr>
        <w:t>ТЬ ПОСЛУГ</w:t>
      </w:r>
      <w:r w:rsidR="003E4968" w:rsidRPr="002D3052">
        <w:rPr>
          <w:rFonts w:ascii="Times New Roman" w:hAnsi="Times New Roman" w:cs="Times New Roman"/>
          <w:color w:val="212529"/>
          <w:spacing w:val="-4"/>
          <w:sz w:val="28"/>
          <w:szCs w:val="28"/>
        </w:rPr>
        <w:t xml:space="preserve"> (додається) </w:t>
      </w:r>
    </w:p>
    <w:p w14:paraId="1DA2BC31" w14:textId="1688F6BA" w:rsidR="007B3CB4" w:rsidRDefault="007B3CB4" w:rsidP="00527D29">
      <w:pPr>
        <w:numPr>
          <w:ilvl w:val="0"/>
          <w:numId w:val="6"/>
        </w:numPr>
        <w:shd w:val="clear" w:color="auto" w:fill="FBFDFF"/>
        <w:spacing w:after="0" w:line="240" w:lineRule="auto"/>
        <w:jc w:val="both"/>
        <w:rPr>
          <w:rFonts w:ascii="Times New Roman" w:hAnsi="Times New Roman" w:cs="Times New Roman"/>
          <w:color w:val="212529"/>
          <w:sz w:val="28"/>
          <w:szCs w:val="28"/>
        </w:rPr>
      </w:pPr>
      <w:r w:rsidRPr="006262FB">
        <w:rPr>
          <w:rFonts w:ascii="Times New Roman" w:hAnsi="Times New Roman" w:cs="Times New Roman"/>
          <w:color w:val="212529"/>
          <w:sz w:val="28"/>
          <w:szCs w:val="28"/>
        </w:rPr>
        <w:t xml:space="preserve">подати на перевірку до </w:t>
      </w:r>
      <w:r w:rsidR="003E4968" w:rsidRPr="006262FB">
        <w:rPr>
          <w:rFonts w:ascii="Times New Roman" w:eastAsia="Times New Roman" w:hAnsi="Times New Roman" w:cs="Times New Roman"/>
          <w:bCs/>
          <w:color w:val="333333"/>
          <w:sz w:val="28"/>
          <w:szCs w:val="28"/>
          <w:lang w:eastAsia="uk-UA"/>
        </w:rPr>
        <w:t>ДНДЕКЦ МВС</w:t>
      </w:r>
      <w:r w:rsidR="00E0771E">
        <w:rPr>
          <w:rFonts w:ascii="Times New Roman" w:eastAsia="Times New Roman" w:hAnsi="Times New Roman" w:cs="Times New Roman"/>
          <w:bCs/>
          <w:color w:val="333333"/>
          <w:sz w:val="28"/>
          <w:szCs w:val="28"/>
          <w:lang w:eastAsia="uk-UA"/>
        </w:rPr>
        <w:t>,</w:t>
      </w:r>
      <w:r w:rsidR="003E4968" w:rsidRPr="006262FB">
        <w:rPr>
          <w:rFonts w:ascii="Times New Roman" w:eastAsia="Times New Roman" w:hAnsi="Times New Roman" w:cs="Times New Roman"/>
          <w:bCs/>
          <w:color w:val="333333"/>
          <w:sz w:val="28"/>
          <w:szCs w:val="28"/>
          <w:lang w:eastAsia="uk-UA"/>
        </w:rPr>
        <w:t xml:space="preserve"> дільниця</w:t>
      </w:r>
      <w:r w:rsidR="00527D29">
        <w:rPr>
          <w:rFonts w:ascii="Times New Roman" w:eastAsia="Times New Roman" w:hAnsi="Times New Roman" w:cs="Times New Roman"/>
          <w:bCs/>
          <w:color w:val="333333"/>
          <w:sz w:val="28"/>
          <w:szCs w:val="28"/>
          <w:lang w:eastAsia="uk-UA"/>
        </w:rPr>
        <w:t xml:space="preserve"> </w:t>
      </w:r>
      <w:r w:rsidR="003E4968" w:rsidRPr="006262FB">
        <w:rPr>
          <w:rFonts w:ascii="Times New Roman" w:eastAsia="Times New Roman" w:hAnsi="Times New Roman" w:cs="Times New Roman"/>
          <w:bCs/>
          <w:color w:val="333333"/>
          <w:sz w:val="28"/>
          <w:szCs w:val="28"/>
          <w:lang w:eastAsia="uk-UA"/>
        </w:rPr>
        <w:t>№1</w:t>
      </w:r>
      <w:r w:rsidR="003E4968" w:rsidRPr="006262FB">
        <w:rPr>
          <w:rFonts w:ascii="Times New Roman" w:hAnsi="Times New Roman" w:cs="Times New Roman"/>
          <w:color w:val="212529"/>
          <w:sz w:val="28"/>
          <w:szCs w:val="28"/>
        </w:rPr>
        <w:t xml:space="preserve"> </w:t>
      </w:r>
      <w:r w:rsidRPr="006262FB">
        <w:rPr>
          <w:rFonts w:ascii="Times New Roman" w:hAnsi="Times New Roman" w:cs="Times New Roman"/>
          <w:color w:val="212529"/>
          <w:sz w:val="28"/>
          <w:szCs w:val="28"/>
        </w:rPr>
        <w:t>(</w:t>
      </w:r>
      <w:r w:rsidR="00527D29" w:rsidRPr="00527D29">
        <w:rPr>
          <w:rFonts w:ascii="Times New Roman" w:hAnsi="Times New Roman" w:cs="Times New Roman"/>
          <w:color w:val="212529"/>
          <w:sz w:val="28"/>
          <w:szCs w:val="28"/>
        </w:rPr>
        <w:t>вул. Мрії, 19</w:t>
      </w:r>
      <w:r w:rsidR="00527D29">
        <w:rPr>
          <w:rFonts w:ascii="Times New Roman" w:hAnsi="Times New Roman" w:cs="Times New Roman"/>
          <w:color w:val="212529"/>
          <w:sz w:val="28"/>
          <w:szCs w:val="28"/>
        </w:rPr>
        <w:t xml:space="preserve">, </w:t>
      </w:r>
      <w:r w:rsidR="003E4968" w:rsidRPr="006262FB">
        <w:rPr>
          <w:rFonts w:ascii="Times New Roman" w:hAnsi="Times New Roman" w:cs="Times New Roman"/>
          <w:color w:val="212529"/>
          <w:sz w:val="28"/>
          <w:szCs w:val="28"/>
        </w:rPr>
        <w:t>м. Київ</w:t>
      </w:r>
      <w:r w:rsidRPr="006262FB">
        <w:rPr>
          <w:rFonts w:ascii="Times New Roman" w:hAnsi="Times New Roman" w:cs="Times New Roman"/>
          <w:color w:val="212529"/>
          <w:sz w:val="28"/>
          <w:szCs w:val="28"/>
        </w:rPr>
        <w:t>) повністю укомплектований транспортний засіб, заправлений експлуатаційними рідинами (згідно з експлуатаційною документацією виробника) та без нашарувань бруду</w:t>
      </w:r>
      <w:r w:rsidR="003E4968" w:rsidRPr="00E0771E">
        <w:rPr>
          <w:rFonts w:ascii="Times New Roman" w:hAnsi="Times New Roman" w:cs="Times New Roman"/>
          <w:color w:val="212529"/>
          <w:sz w:val="28"/>
          <w:szCs w:val="28"/>
          <w:lang w:val="ru-RU"/>
        </w:rPr>
        <w:t xml:space="preserve"> </w:t>
      </w:r>
      <w:r w:rsidR="003E4968" w:rsidRPr="006262FB">
        <w:rPr>
          <w:rFonts w:ascii="Times New Roman" w:hAnsi="Times New Roman" w:cs="Times New Roman"/>
          <w:color w:val="212529"/>
          <w:sz w:val="28"/>
          <w:szCs w:val="28"/>
        </w:rPr>
        <w:t xml:space="preserve">або з встановленими </w:t>
      </w:r>
      <w:proofErr w:type="spellStart"/>
      <w:r w:rsidR="003E4968" w:rsidRPr="006262FB">
        <w:rPr>
          <w:rFonts w:ascii="Times New Roman" w:hAnsi="Times New Roman" w:cs="Times New Roman"/>
          <w:color w:val="212529"/>
          <w:sz w:val="28"/>
          <w:szCs w:val="28"/>
        </w:rPr>
        <w:t>шипованими</w:t>
      </w:r>
      <w:proofErr w:type="spellEnd"/>
      <w:r w:rsidR="003E4968" w:rsidRPr="006262FB">
        <w:rPr>
          <w:rFonts w:ascii="Times New Roman" w:hAnsi="Times New Roman" w:cs="Times New Roman"/>
          <w:color w:val="212529"/>
          <w:sz w:val="28"/>
          <w:szCs w:val="28"/>
        </w:rPr>
        <w:t xml:space="preserve"> шинами</w:t>
      </w:r>
      <w:r w:rsidRPr="006262FB">
        <w:rPr>
          <w:rFonts w:ascii="Times New Roman" w:hAnsi="Times New Roman" w:cs="Times New Roman"/>
          <w:color w:val="212529"/>
          <w:sz w:val="28"/>
          <w:szCs w:val="28"/>
        </w:rPr>
        <w:t>, що може вплинути на результати перевірки його технічного стану.</w:t>
      </w:r>
    </w:p>
    <w:p w14:paraId="1F6DF193" w14:textId="77777777" w:rsidR="00527D29" w:rsidRPr="006262FB" w:rsidRDefault="00527D29" w:rsidP="00527D29">
      <w:pPr>
        <w:shd w:val="clear" w:color="auto" w:fill="FBFDFF"/>
        <w:spacing w:after="0" w:line="240" w:lineRule="auto"/>
        <w:ind w:left="720"/>
        <w:jc w:val="both"/>
        <w:rPr>
          <w:rFonts w:ascii="Times New Roman" w:hAnsi="Times New Roman" w:cs="Times New Roman"/>
          <w:color w:val="212529"/>
          <w:sz w:val="28"/>
          <w:szCs w:val="28"/>
        </w:rPr>
      </w:pPr>
    </w:p>
    <w:p w14:paraId="3DAC8DBA" w14:textId="1CBF0F11" w:rsidR="003E4968" w:rsidRDefault="003E4968" w:rsidP="000700D1">
      <w:pPr>
        <w:shd w:val="clear" w:color="auto" w:fill="FBFDFF"/>
        <w:spacing w:after="0" w:line="240" w:lineRule="auto"/>
        <w:ind w:firstLine="426"/>
        <w:jc w:val="both"/>
        <w:rPr>
          <w:rFonts w:ascii="Times New Roman" w:eastAsia="Times New Roman" w:hAnsi="Times New Roman" w:cs="Times New Roman"/>
          <w:color w:val="212529"/>
          <w:sz w:val="28"/>
          <w:szCs w:val="28"/>
          <w:lang w:eastAsia="uk-UA"/>
        </w:rPr>
      </w:pPr>
      <w:r w:rsidRPr="006262FB">
        <w:rPr>
          <w:rFonts w:ascii="Times New Roman" w:eastAsia="Times New Roman" w:hAnsi="Times New Roman" w:cs="Times New Roman"/>
          <w:color w:val="212529"/>
          <w:sz w:val="28"/>
          <w:szCs w:val="28"/>
          <w:lang w:eastAsia="uk-UA"/>
        </w:rPr>
        <w:t xml:space="preserve">Обов’язковий технічний контроль транспортного засобу проводиться після здійснення його зовнішнього огляду з метою ідентифікації транспортного засобу, звірки ідентифікаційних номерів та номерних знаків транспортного засобу з </w:t>
      </w:r>
      <w:r w:rsidR="00527D29">
        <w:rPr>
          <w:rFonts w:ascii="Times New Roman" w:eastAsia="Times New Roman" w:hAnsi="Times New Roman" w:cs="Times New Roman"/>
          <w:color w:val="212529"/>
          <w:sz w:val="28"/>
          <w:szCs w:val="28"/>
          <w:lang w:eastAsia="uk-UA"/>
        </w:rPr>
        <w:t>даними реєстраційних документів,</w:t>
      </w:r>
      <w:r w:rsidRPr="006262FB">
        <w:rPr>
          <w:rFonts w:ascii="Times New Roman" w:eastAsia="Times New Roman" w:hAnsi="Times New Roman" w:cs="Times New Roman"/>
          <w:color w:val="212529"/>
          <w:sz w:val="28"/>
          <w:szCs w:val="28"/>
          <w:lang w:eastAsia="uk-UA"/>
        </w:rPr>
        <w:t xml:space="preserve"> встановлення комплектності.</w:t>
      </w:r>
    </w:p>
    <w:p w14:paraId="0C30230C" w14:textId="77777777" w:rsidR="00B558E8" w:rsidRPr="006262FB" w:rsidRDefault="00B558E8" w:rsidP="000700D1">
      <w:pPr>
        <w:shd w:val="clear" w:color="auto" w:fill="FBFDFF"/>
        <w:spacing w:after="0" w:line="240" w:lineRule="auto"/>
        <w:ind w:firstLine="426"/>
        <w:jc w:val="both"/>
        <w:rPr>
          <w:rFonts w:ascii="Times New Roman" w:eastAsia="Times New Roman" w:hAnsi="Times New Roman" w:cs="Times New Roman"/>
          <w:color w:val="212529"/>
          <w:sz w:val="28"/>
          <w:szCs w:val="28"/>
          <w:lang w:eastAsia="uk-UA"/>
        </w:rPr>
      </w:pPr>
    </w:p>
    <w:p w14:paraId="1FC5FDA7" w14:textId="6AF0709C" w:rsidR="003E4968" w:rsidRDefault="003E4968" w:rsidP="000700D1">
      <w:pPr>
        <w:pStyle w:val="a9"/>
        <w:shd w:val="clear" w:color="auto" w:fill="FBFDFF"/>
        <w:spacing w:after="0" w:line="240" w:lineRule="auto"/>
        <w:ind w:left="0" w:firstLine="426"/>
        <w:jc w:val="both"/>
        <w:rPr>
          <w:rFonts w:ascii="Times New Roman" w:eastAsia="Times New Roman" w:hAnsi="Times New Roman" w:cs="Times New Roman"/>
          <w:color w:val="212529"/>
          <w:sz w:val="28"/>
          <w:szCs w:val="28"/>
          <w:lang w:eastAsia="uk-UA"/>
        </w:rPr>
      </w:pPr>
      <w:r w:rsidRPr="006262FB">
        <w:rPr>
          <w:rFonts w:ascii="Times New Roman" w:eastAsia="Times New Roman" w:hAnsi="Times New Roman" w:cs="Times New Roman"/>
          <w:color w:val="212529"/>
          <w:sz w:val="28"/>
          <w:szCs w:val="28"/>
          <w:lang w:eastAsia="uk-UA"/>
        </w:rPr>
        <w:t>У разі позитивного результату після проведення ОТК транспортного засобу зам</w:t>
      </w:r>
      <w:r w:rsidR="007307F6">
        <w:rPr>
          <w:rFonts w:ascii="Times New Roman" w:eastAsia="Times New Roman" w:hAnsi="Times New Roman" w:cs="Times New Roman"/>
          <w:color w:val="212529"/>
          <w:sz w:val="28"/>
          <w:szCs w:val="28"/>
          <w:lang w:eastAsia="uk-UA"/>
        </w:rPr>
        <w:t>овнику</w:t>
      </w:r>
      <w:r w:rsidRPr="006262FB">
        <w:rPr>
          <w:rFonts w:ascii="Times New Roman" w:eastAsia="Times New Roman" w:hAnsi="Times New Roman" w:cs="Times New Roman"/>
          <w:color w:val="212529"/>
          <w:sz w:val="28"/>
          <w:szCs w:val="28"/>
          <w:lang w:eastAsia="uk-UA"/>
        </w:rPr>
        <w:t xml:space="preserve"> </w:t>
      </w:r>
      <w:r w:rsidR="007307F6" w:rsidRPr="007307F6">
        <w:rPr>
          <w:rFonts w:ascii="Times New Roman" w:eastAsia="Times New Roman" w:hAnsi="Times New Roman" w:cs="Times New Roman"/>
          <w:color w:val="212529"/>
          <w:sz w:val="28"/>
          <w:szCs w:val="28"/>
          <w:lang w:eastAsia="uk-UA"/>
        </w:rPr>
        <w:t xml:space="preserve"> (водію)</w:t>
      </w:r>
      <w:r w:rsidR="007307F6">
        <w:rPr>
          <w:rFonts w:ascii="Times New Roman" w:eastAsia="Times New Roman" w:hAnsi="Times New Roman" w:cs="Times New Roman"/>
          <w:color w:val="212529"/>
          <w:sz w:val="28"/>
          <w:szCs w:val="28"/>
          <w:lang w:eastAsia="uk-UA"/>
        </w:rPr>
        <w:t xml:space="preserve"> </w:t>
      </w:r>
      <w:r w:rsidRPr="006262FB">
        <w:rPr>
          <w:rFonts w:ascii="Times New Roman" w:eastAsia="Times New Roman" w:hAnsi="Times New Roman" w:cs="Times New Roman"/>
          <w:color w:val="212529"/>
          <w:sz w:val="28"/>
          <w:szCs w:val="28"/>
          <w:lang w:eastAsia="uk-UA"/>
        </w:rPr>
        <w:t>видається паперова копія протоколу перевірки технічного стану транспортного засобу.</w:t>
      </w:r>
    </w:p>
    <w:p w14:paraId="0E6F1D3B" w14:textId="251D13B9" w:rsidR="007307F6" w:rsidRPr="006262FB" w:rsidRDefault="007307F6" w:rsidP="000700D1">
      <w:pPr>
        <w:pStyle w:val="a9"/>
        <w:shd w:val="clear" w:color="auto" w:fill="FBFDFF"/>
        <w:spacing w:after="0" w:line="240" w:lineRule="auto"/>
        <w:ind w:left="0" w:firstLine="426"/>
        <w:jc w:val="both"/>
        <w:rPr>
          <w:rFonts w:ascii="Times New Roman" w:eastAsia="Times New Roman" w:hAnsi="Times New Roman" w:cs="Times New Roman"/>
          <w:color w:val="212529"/>
          <w:sz w:val="28"/>
          <w:szCs w:val="28"/>
          <w:lang w:eastAsia="uk-UA"/>
        </w:rPr>
      </w:pPr>
      <w:r w:rsidRPr="007307F6">
        <w:rPr>
          <w:rFonts w:ascii="Times New Roman" w:eastAsia="Times New Roman" w:hAnsi="Times New Roman" w:cs="Times New Roman"/>
          <w:color w:val="212529"/>
          <w:sz w:val="28"/>
          <w:szCs w:val="28"/>
          <w:lang w:eastAsia="uk-UA"/>
        </w:rPr>
        <w:t>На вимогу замовника (водія) паперова копія виготовляється та видається на бланку протоколу перевірки технічного стану транспортного засобу.</w:t>
      </w:r>
    </w:p>
    <w:p w14:paraId="1F2E6A80" w14:textId="77777777" w:rsidR="006262FB" w:rsidRDefault="006262FB" w:rsidP="000700D1">
      <w:pPr>
        <w:pStyle w:val="a9"/>
        <w:shd w:val="clear" w:color="auto" w:fill="FBFDFF"/>
        <w:spacing w:after="0" w:line="240" w:lineRule="auto"/>
        <w:ind w:left="0" w:firstLine="426"/>
        <w:jc w:val="both"/>
        <w:rPr>
          <w:rFonts w:ascii="Times New Roman" w:eastAsia="Times New Roman" w:hAnsi="Times New Roman" w:cs="Times New Roman"/>
          <w:color w:val="212529"/>
          <w:sz w:val="28"/>
          <w:szCs w:val="28"/>
          <w:lang w:eastAsia="uk-UA"/>
        </w:rPr>
      </w:pPr>
    </w:p>
    <w:p w14:paraId="3A50C233" w14:textId="2DBD2C32" w:rsidR="006262FB" w:rsidRDefault="006262FB" w:rsidP="000700D1">
      <w:pPr>
        <w:pStyle w:val="a9"/>
        <w:shd w:val="clear" w:color="auto" w:fill="FBFDFF"/>
        <w:spacing w:after="0" w:line="240" w:lineRule="auto"/>
        <w:ind w:left="0" w:firstLine="426"/>
        <w:jc w:val="both"/>
        <w:rPr>
          <w:rFonts w:ascii="Times New Roman" w:eastAsia="Times New Roman" w:hAnsi="Times New Roman" w:cs="Times New Roman"/>
          <w:color w:val="212529"/>
          <w:sz w:val="28"/>
          <w:szCs w:val="28"/>
          <w:lang w:eastAsia="uk-UA"/>
        </w:rPr>
      </w:pPr>
      <w:r w:rsidRPr="006262FB">
        <w:rPr>
          <w:rFonts w:ascii="Times New Roman" w:eastAsia="Times New Roman" w:hAnsi="Times New Roman" w:cs="Times New Roman"/>
          <w:color w:val="212529"/>
          <w:sz w:val="28"/>
          <w:szCs w:val="28"/>
          <w:lang w:eastAsia="uk-UA"/>
        </w:rPr>
        <w:t>У разі негативного результату або невідповідності даних у свідоцтві про реєстрацію транспортного засобу даним ідентифікації транспортного засобу складається акт невідповідності технічного стану транспортного засобу.</w:t>
      </w:r>
    </w:p>
    <w:p w14:paraId="4D5553C7" w14:textId="77777777" w:rsidR="00B558E8" w:rsidRPr="006262FB" w:rsidRDefault="00B558E8" w:rsidP="000700D1">
      <w:pPr>
        <w:pStyle w:val="a9"/>
        <w:shd w:val="clear" w:color="auto" w:fill="FBFDFF"/>
        <w:spacing w:after="0" w:line="240" w:lineRule="auto"/>
        <w:ind w:left="0" w:firstLine="426"/>
        <w:jc w:val="both"/>
        <w:rPr>
          <w:rFonts w:ascii="Times New Roman" w:eastAsia="Times New Roman" w:hAnsi="Times New Roman" w:cs="Times New Roman"/>
          <w:color w:val="212529"/>
          <w:sz w:val="28"/>
          <w:szCs w:val="28"/>
          <w:lang w:eastAsia="uk-UA"/>
        </w:rPr>
      </w:pPr>
    </w:p>
    <w:p w14:paraId="5C2E4E44" w14:textId="08FF0A37" w:rsidR="00943821" w:rsidRPr="006262FB" w:rsidRDefault="003E4968" w:rsidP="000700D1">
      <w:pPr>
        <w:pStyle w:val="a9"/>
        <w:shd w:val="clear" w:color="auto" w:fill="FBFDFF"/>
        <w:spacing w:after="0" w:line="240" w:lineRule="auto"/>
        <w:ind w:left="0"/>
        <w:jc w:val="both"/>
        <w:rPr>
          <w:rFonts w:ascii="Times New Roman" w:hAnsi="Times New Roman" w:cs="Times New Roman"/>
          <w:sz w:val="28"/>
          <w:szCs w:val="28"/>
        </w:rPr>
      </w:pPr>
      <w:r w:rsidRPr="006262FB">
        <w:rPr>
          <w:rFonts w:ascii="Times New Roman" w:eastAsia="Times New Roman" w:hAnsi="Times New Roman" w:cs="Times New Roman"/>
          <w:b/>
          <w:bCs/>
          <w:color w:val="FF0000"/>
          <w:sz w:val="28"/>
          <w:szCs w:val="28"/>
          <w:lang w:eastAsia="uk-UA"/>
        </w:rPr>
        <w:t>Попередження:</w:t>
      </w:r>
      <w:r w:rsidRPr="006262FB">
        <w:rPr>
          <w:rFonts w:ascii="Times New Roman" w:eastAsia="Times New Roman" w:hAnsi="Times New Roman" w:cs="Times New Roman"/>
          <w:color w:val="212529"/>
          <w:sz w:val="28"/>
          <w:szCs w:val="28"/>
          <w:lang w:eastAsia="uk-UA"/>
        </w:rPr>
        <w:t> </w:t>
      </w:r>
      <w:r w:rsidR="006262FB" w:rsidRPr="006262FB">
        <w:rPr>
          <w:rFonts w:ascii="Times New Roman" w:eastAsia="Times New Roman" w:hAnsi="Times New Roman" w:cs="Times New Roman"/>
          <w:b/>
          <w:bCs/>
          <w:color w:val="333333"/>
          <w:sz w:val="28"/>
          <w:szCs w:val="28"/>
          <w:lang w:eastAsia="uk-UA"/>
        </w:rPr>
        <w:t>ДНДЕКЦ МВС</w:t>
      </w:r>
      <w:r w:rsidR="00E0771E">
        <w:rPr>
          <w:rFonts w:ascii="Times New Roman" w:eastAsia="Times New Roman" w:hAnsi="Times New Roman" w:cs="Times New Roman"/>
          <w:b/>
          <w:bCs/>
          <w:color w:val="333333"/>
          <w:sz w:val="28"/>
          <w:szCs w:val="28"/>
          <w:lang w:eastAsia="uk-UA"/>
        </w:rPr>
        <w:t>,</w:t>
      </w:r>
      <w:r w:rsidR="006262FB" w:rsidRPr="006262FB">
        <w:rPr>
          <w:rFonts w:ascii="Times New Roman" w:eastAsia="Times New Roman" w:hAnsi="Times New Roman" w:cs="Times New Roman"/>
          <w:b/>
          <w:bCs/>
          <w:color w:val="333333"/>
          <w:sz w:val="28"/>
          <w:szCs w:val="28"/>
          <w:lang w:eastAsia="uk-UA"/>
        </w:rPr>
        <w:t xml:space="preserve"> дільниця</w:t>
      </w:r>
      <w:r w:rsidR="00527D29">
        <w:rPr>
          <w:rFonts w:ascii="Times New Roman" w:eastAsia="Times New Roman" w:hAnsi="Times New Roman" w:cs="Times New Roman"/>
          <w:b/>
          <w:bCs/>
          <w:color w:val="333333"/>
          <w:sz w:val="28"/>
          <w:szCs w:val="28"/>
          <w:lang w:eastAsia="uk-UA"/>
        </w:rPr>
        <w:t xml:space="preserve"> </w:t>
      </w:r>
      <w:r w:rsidR="006262FB" w:rsidRPr="006262FB">
        <w:rPr>
          <w:rFonts w:ascii="Times New Roman" w:eastAsia="Times New Roman" w:hAnsi="Times New Roman" w:cs="Times New Roman"/>
          <w:b/>
          <w:bCs/>
          <w:color w:val="333333"/>
          <w:sz w:val="28"/>
          <w:szCs w:val="28"/>
          <w:lang w:eastAsia="uk-UA"/>
        </w:rPr>
        <w:t>№1</w:t>
      </w:r>
      <w:r w:rsidR="006262FB" w:rsidRPr="006262FB">
        <w:rPr>
          <w:rFonts w:ascii="Times New Roman" w:hAnsi="Times New Roman" w:cs="Times New Roman"/>
          <w:color w:val="212529"/>
          <w:sz w:val="28"/>
          <w:szCs w:val="28"/>
        </w:rPr>
        <w:t xml:space="preserve"> </w:t>
      </w:r>
      <w:r w:rsidR="00E0771E">
        <w:rPr>
          <w:rFonts w:ascii="Times New Roman" w:eastAsia="Times New Roman" w:hAnsi="Times New Roman" w:cs="Times New Roman"/>
          <w:b/>
          <w:bCs/>
          <w:color w:val="212529"/>
          <w:sz w:val="28"/>
          <w:szCs w:val="28"/>
          <w:lang w:eastAsia="uk-UA"/>
        </w:rPr>
        <w:t xml:space="preserve">відповідно до вимог чинного законодавства </w:t>
      </w:r>
      <w:r w:rsidRPr="006262FB">
        <w:rPr>
          <w:rFonts w:ascii="Times New Roman" w:eastAsia="Times New Roman" w:hAnsi="Times New Roman" w:cs="Times New Roman"/>
          <w:b/>
          <w:bCs/>
          <w:color w:val="212529"/>
          <w:sz w:val="28"/>
          <w:szCs w:val="28"/>
          <w:lang w:eastAsia="uk-UA"/>
        </w:rPr>
        <w:t>здійснює фото - та відеофіксацію процесу проведення обов’язкового технічного контролю транспортного засобу!</w:t>
      </w:r>
    </w:p>
    <w:sectPr w:rsidR="00943821" w:rsidRPr="006262FB" w:rsidSect="002D3052">
      <w:pgSz w:w="23811" w:h="16838" w:orient="landscape" w:code="8"/>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735"/>
    <w:multiLevelType w:val="multilevel"/>
    <w:tmpl w:val="6EEA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64A3"/>
    <w:multiLevelType w:val="multilevel"/>
    <w:tmpl w:val="212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947D6"/>
    <w:multiLevelType w:val="multilevel"/>
    <w:tmpl w:val="293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44505"/>
    <w:multiLevelType w:val="multilevel"/>
    <w:tmpl w:val="033A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B1470"/>
    <w:multiLevelType w:val="multilevel"/>
    <w:tmpl w:val="720EE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944A7"/>
    <w:multiLevelType w:val="hybridMultilevel"/>
    <w:tmpl w:val="80967544"/>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40"/>
    <w:rsid w:val="000700D1"/>
    <w:rsid w:val="00147302"/>
    <w:rsid w:val="002D3052"/>
    <w:rsid w:val="003A1545"/>
    <w:rsid w:val="003E4968"/>
    <w:rsid w:val="00527D29"/>
    <w:rsid w:val="006262FB"/>
    <w:rsid w:val="00661C87"/>
    <w:rsid w:val="007307F6"/>
    <w:rsid w:val="007359DB"/>
    <w:rsid w:val="00794991"/>
    <w:rsid w:val="007B3CB4"/>
    <w:rsid w:val="007C2040"/>
    <w:rsid w:val="008401F0"/>
    <w:rsid w:val="00943821"/>
    <w:rsid w:val="00A34867"/>
    <w:rsid w:val="00A839B8"/>
    <w:rsid w:val="00AA4939"/>
    <w:rsid w:val="00B558E8"/>
    <w:rsid w:val="00C212D7"/>
    <w:rsid w:val="00E0771E"/>
    <w:rsid w:val="00FF4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4017"/>
  <w15:chartTrackingRefBased/>
  <w15:docId w15:val="{FB3B6CAD-CCE9-48E2-BB1A-32FC0947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5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A1545"/>
    <w:rPr>
      <w:b/>
      <w:bCs/>
    </w:rPr>
  </w:style>
  <w:style w:type="character" w:styleId="a5">
    <w:name w:val="Hyperlink"/>
    <w:basedOn w:val="a0"/>
    <w:uiPriority w:val="99"/>
    <w:semiHidden/>
    <w:unhideWhenUsed/>
    <w:rsid w:val="003A1545"/>
    <w:rPr>
      <w:color w:val="0000FF"/>
      <w:u w:val="single"/>
    </w:rPr>
  </w:style>
  <w:style w:type="paragraph" w:customStyle="1" w:styleId="rvps2">
    <w:name w:val="rvps2"/>
    <w:basedOn w:val="a"/>
    <w:rsid w:val="00C212D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39"/>
    <w:rsid w:val="00A8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7B3CB4"/>
    <w:rPr>
      <w:i/>
      <w:iCs/>
    </w:rPr>
  </w:style>
  <w:style w:type="character" w:styleId="a8">
    <w:name w:val="FollowedHyperlink"/>
    <w:basedOn w:val="a0"/>
    <w:uiPriority w:val="99"/>
    <w:semiHidden/>
    <w:unhideWhenUsed/>
    <w:rsid w:val="003E4968"/>
    <w:rPr>
      <w:color w:val="954F72" w:themeColor="followedHyperlink"/>
      <w:u w:val="single"/>
    </w:rPr>
  </w:style>
  <w:style w:type="paragraph" w:styleId="a9">
    <w:name w:val="List Paragraph"/>
    <w:basedOn w:val="a"/>
    <w:uiPriority w:val="34"/>
    <w:qFormat/>
    <w:rsid w:val="003E4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4175">
      <w:bodyDiv w:val="1"/>
      <w:marLeft w:val="0"/>
      <w:marRight w:val="0"/>
      <w:marTop w:val="0"/>
      <w:marBottom w:val="0"/>
      <w:divBdr>
        <w:top w:val="none" w:sz="0" w:space="0" w:color="auto"/>
        <w:left w:val="none" w:sz="0" w:space="0" w:color="auto"/>
        <w:bottom w:val="none" w:sz="0" w:space="0" w:color="auto"/>
        <w:right w:val="none" w:sz="0" w:space="0" w:color="auto"/>
      </w:divBdr>
    </w:div>
    <w:div w:id="1102065921">
      <w:bodyDiv w:val="1"/>
      <w:marLeft w:val="0"/>
      <w:marRight w:val="0"/>
      <w:marTop w:val="0"/>
      <w:marBottom w:val="0"/>
      <w:divBdr>
        <w:top w:val="none" w:sz="0" w:space="0" w:color="auto"/>
        <w:left w:val="none" w:sz="0" w:space="0" w:color="auto"/>
        <w:bottom w:val="none" w:sz="0" w:space="0" w:color="auto"/>
        <w:right w:val="none" w:sz="0" w:space="0" w:color="auto"/>
      </w:divBdr>
    </w:div>
    <w:div w:id="1417481457">
      <w:bodyDiv w:val="1"/>
      <w:marLeft w:val="0"/>
      <w:marRight w:val="0"/>
      <w:marTop w:val="0"/>
      <w:marBottom w:val="0"/>
      <w:divBdr>
        <w:top w:val="none" w:sz="0" w:space="0" w:color="auto"/>
        <w:left w:val="none" w:sz="0" w:space="0" w:color="auto"/>
        <w:bottom w:val="none" w:sz="0" w:space="0" w:color="auto"/>
        <w:right w:val="none" w:sz="0" w:space="0" w:color="auto"/>
      </w:divBdr>
    </w:div>
    <w:div w:id="16796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1.rada.gov.ua/laws/show/3353-12" TargetMode="External"/><Relationship Id="rId13" Type="http://schemas.openxmlformats.org/officeDocument/2006/relationships/hyperlink" Target="mailto:dndekc@mvs.gov.ua" TargetMode="External"/><Relationship Id="rId3" Type="http://schemas.openxmlformats.org/officeDocument/2006/relationships/styles" Target="styles.xml"/><Relationship Id="rId7" Type="http://schemas.openxmlformats.org/officeDocument/2006/relationships/hyperlink" Target="https://zakon2.rada.gov.ua/laws/show/229-16" TargetMode="External"/><Relationship Id="rId12" Type="http://schemas.openxmlformats.org/officeDocument/2006/relationships/hyperlink" Target="https://zakon.rada.gov.ua/laws/show/z1036-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2.rada.gov.ua/laws/show/137-2012-%D0%BF" TargetMode="External"/><Relationship Id="rId11" Type="http://schemas.openxmlformats.org/officeDocument/2006/relationships/hyperlink" Target="https://zakon.rada.gov.ua/laws/show/z1036-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5.rada.gov.ua/laws/show/512-2012-%D0%BF" TargetMode="External"/><Relationship Id="rId4" Type="http://schemas.openxmlformats.org/officeDocument/2006/relationships/settings" Target="settings.xml"/><Relationship Id="rId9" Type="http://schemas.openxmlformats.org/officeDocument/2006/relationships/hyperlink" Target="https://zakon3.rada.gov.ua/laws/show/137-2012-%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3642-91A9-49D1-BC54-9E724BA9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5010</Words>
  <Characters>2856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Подоляка Назар Олексійович</dc:creator>
  <cp:keywords/>
  <dc:description/>
  <cp:lastModifiedBy>Компанець Сергій Володимирович</cp:lastModifiedBy>
  <cp:revision>3</cp:revision>
  <cp:lastPrinted>2025-04-01T06:36:00Z</cp:lastPrinted>
  <dcterms:created xsi:type="dcterms:W3CDTF">2025-04-03T06:10:00Z</dcterms:created>
  <dcterms:modified xsi:type="dcterms:W3CDTF">2025-04-03T07:46:00Z</dcterms:modified>
</cp:coreProperties>
</file>