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908" w:rsidRPr="00641C64" w:rsidRDefault="00F15908" w:rsidP="00F15908">
      <w:pPr>
        <w:suppressAutoHyphens/>
        <w:spacing w:after="0"/>
        <w:jc w:val="center"/>
        <w:rPr>
          <w:rFonts w:ascii="Times New Roman" w:eastAsia="Calibri" w:hAnsi="Times New Roman" w:cs="Times New Roman"/>
          <w:b/>
          <w:sz w:val="26"/>
          <w:szCs w:val="26"/>
        </w:rPr>
      </w:pPr>
      <w:r w:rsidRPr="00641C64">
        <w:rPr>
          <w:rFonts w:ascii="Times New Roman" w:eastAsia="Calibri" w:hAnsi="Times New Roman" w:cs="Times New Roman"/>
          <w:b/>
          <w:sz w:val="26"/>
          <w:szCs w:val="26"/>
        </w:rPr>
        <w:t>Обґрунтування</w:t>
      </w:r>
    </w:p>
    <w:p w:rsidR="00F15908" w:rsidRPr="00641C64" w:rsidRDefault="00F15908" w:rsidP="00F15908">
      <w:pPr>
        <w:suppressAutoHyphens/>
        <w:spacing w:after="0"/>
        <w:jc w:val="center"/>
        <w:rPr>
          <w:rFonts w:ascii="Times New Roman" w:eastAsia="Calibri" w:hAnsi="Times New Roman" w:cs="Times New Roman"/>
          <w:b/>
          <w:sz w:val="26"/>
          <w:szCs w:val="26"/>
        </w:rPr>
      </w:pPr>
      <w:r w:rsidRPr="00641C64">
        <w:rPr>
          <w:rFonts w:ascii="Times New Roman" w:eastAsia="Calibri" w:hAnsi="Times New Roman" w:cs="Times New Roman"/>
          <w:b/>
          <w:sz w:val="26"/>
          <w:szCs w:val="26"/>
        </w:rPr>
        <w:t>технічних та якісних характеристик предмета закупівлі</w:t>
      </w:r>
    </w:p>
    <w:p w:rsidR="00F15908" w:rsidRPr="00641C64" w:rsidRDefault="007E7C25" w:rsidP="00F15908">
      <w:pPr>
        <w:suppressAutoHyphens/>
        <w:spacing w:after="0"/>
        <w:jc w:val="center"/>
        <w:rPr>
          <w:rFonts w:ascii="Times New Roman" w:eastAsia="Calibri" w:hAnsi="Times New Roman" w:cs="Times New Roman"/>
          <w:b/>
          <w:iCs/>
          <w:sz w:val="26"/>
          <w:szCs w:val="26"/>
        </w:rPr>
      </w:pPr>
      <w:bookmarkStart w:id="0" w:name="_Hlk205995774"/>
      <w:bookmarkStart w:id="1" w:name="_Hlk204852814"/>
      <w:r w:rsidRPr="007E7C25">
        <w:rPr>
          <w:rFonts w:ascii="Times New Roman" w:eastAsia="Calibri" w:hAnsi="Times New Roman" w:cs="Times New Roman"/>
          <w:b/>
          <w:iCs/>
          <w:sz w:val="26"/>
          <w:szCs w:val="26"/>
        </w:rPr>
        <w:t>Код ДК 021:2015 50410000-2 Послуги з ремонту і технічного обслуговування вимірювальних, випробувальних і контрольних приладів (Послуги з технічного обслуговування лабораторного обладнання)</w:t>
      </w:r>
    </w:p>
    <w:p w:rsidR="00F15908" w:rsidRPr="00641C64" w:rsidRDefault="00F15908" w:rsidP="00F15908">
      <w:pPr>
        <w:suppressAutoHyphens/>
        <w:spacing w:after="240"/>
        <w:jc w:val="center"/>
        <w:rPr>
          <w:rFonts w:ascii="Times New Roman" w:eastAsia="Calibri" w:hAnsi="Times New Roman" w:cs="Times New Roman"/>
          <w:iCs/>
          <w:sz w:val="20"/>
          <w:szCs w:val="20"/>
        </w:rPr>
      </w:pPr>
      <w:r w:rsidRPr="00641C64">
        <w:rPr>
          <w:rFonts w:ascii="Times New Roman" w:eastAsia="Calibri" w:hAnsi="Times New Roman" w:cs="Times New Roman"/>
          <w:iCs/>
          <w:sz w:val="20"/>
          <w:szCs w:val="20"/>
        </w:rPr>
        <w:t>(назва предмета закупівлі)</w:t>
      </w:r>
    </w:p>
    <w:p w:rsidR="00F15908" w:rsidRPr="00641C64" w:rsidRDefault="00F15908" w:rsidP="00F15908">
      <w:pPr>
        <w:suppressAutoHyphens/>
        <w:spacing w:after="0"/>
        <w:jc w:val="center"/>
        <w:rPr>
          <w:rFonts w:ascii="Times New Roman" w:eastAsia="Calibri" w:hAnsi="Times New Roman" w:cs="Times New Roman"/>
          <w:b/>
          <w:sz w:val="26"/>
          <w:szCs w:val="26"/>
        </w:rPr>
      </w:pPr>
      <w:bookmarkStart w:id="2" w:name="_Hlk199331911"/>
      <w:r w:rsidRPr="00641C64">
        <w:rPr>
          <w:rFonts w:ascii="Times New Roman" w:eastAsia="Calibri" w:hAnsi="Times New Roman" w:cs="Times New Roman"/>
          <w:b/>
          <w:sz w:val="26"/>
          <w:szCs w:val="26"/>
        </w:rPr>
        <w:t xml:space="preserve">(номер / ідентифікатор закупівлі </w:t>
      </w:r>
      <w:bookmarkEnd w:id="0"/>
      <w:bookmarkEnd w:id="1"/>
      <w:bookmarkEnd w:id="2"/>
      <w:r w:rsidR="007E7C25" w:rsidRPr="007E7C25">
        <w:rPr>
          <w:rFonts w:ascii="Times New Roman" w:eastAsia="Calibri" w:hAnsi="Times New Roman" w:cs="Times New Roman"/>
          <w:b/>
          <w:sz w:val="26"/>
          <w:szCs w:val="26"/>
        </w:rPr>
        <w:t>UA-2025-11-21-003607-a</w:t>
      </w:r>
      <w:r w:rsidR="008B7FD8" w:rsidRPr="00641C64">
        <w:rPr>
          <w:rFonts w:ascii="Times New Roman" w:eastAsia="Calibri" w:hAnsi="Times New Roman" w:cs="Times New Roman"/>
          <w:b/>
          <w:sz w:val="26"/>
          <w:szCs w:val="26"/>
        </w:rPr>
        <w:t>)</w:t>
      </w:r>
    </w:p>
    <w:p w:rsidR="00F15908" w:rsidRPr="00641C64" w:rsidRDefault="00F15908" w:rsidP="00F15908">
      <w:pPr>
        <w:widowControl w:val="0"/>
        <w:suppressAutoHyphens/>
        <w:spacing w:after="0" w:line="240" w:lineRule="auto"/>
        <w:ind w:firstLine="580"/>
        <w:jc w:val="both"/>
        <w:rPr>
          <w:rFonts w:ascii="Times New Roman" w:eastAsia="Calibri" w:hAnsi="Times New Roman" w:cs="Times New Roman"/>
        </w:rPr>
      </w:pPr>
    </w:p>
    <w:p w:rsidR="00F15908" w:rsidRDefault="00F15908" w:rsidP="00F15908">
      <w:pPr>
        <w:widowControl w:val="0"/>
        <w:spacing w:after="0" w:line="240" w:lineRule="auto"/>
        <w:ind w:firstLine="709"/>
        <w:jc w:val="both"/>
        <w:rPr>
          <w:rFonts w:ascii="Times New Roman" w:eastAsia="Calibri" w:hAnsi="Times New Roman" w:cs="Times New Roman"/>
          <w:sz w:val="24"/>
        </w:rPr>
      </w:pPr>
      <w:r w:rsidRPr="00641C64">
        <w:rPr>
          <w:rFonts w:ascii="Times New Roman" w:eastAsia="Calibri" w:hAnsi="Times New Roman" w:cs="Times New Roman"/>
          <w:sz w:val="24"/>
        </w:rPr>
        <w:t>Технічні та якісні характеристики предмета закупівлі та їх обґрунтування щодо позиції/позицій предмета закупівлі:</w:t>
      </w:r>
    </w:p>
    <w:p w:rsidR="00F15908" w:rsidRPr="00641C64" w:rsidRDefault="00F15908" w:rsidP="00641C64">
      <w:pPr>
        <w:pStyle w:val="a3"/>
        <w:rPr>
          <w:rFonts w:ascii="Times New Roman" w:hAnsi="Times New Roman" w:cs="Times New Roman"/>
          <w:sz w:val="24"/>
        </w:rPr>
      </w:pPr>
    </w:p>
    <w:tbl>
      <w:tblPr>
        <w:tblStyle w:val="a7"/>
        <w:tblW w:w="10060" w:type="dxa"/>
        <w:tblInd w:w="0" w:type="dxa"/>
        <w:tblLayout w:type="fixed"/>
        <w:tblLook w:val="04A0" w:firstRow="1" w:lastRow="0" w:firstColumn="1" w:lastColumn="0" w:noHBand="0" w:noVBand="1"/>
      </w:tblPr>
      <w:tblGrid>
        <w:gridCol w:w="562"/>
        <w:gridCol w:w="2977"/>
        <w:gridCol w:w="3686"/>
        <w:gridCol w:w="2835"/>
      </w:tblGrid>
      <w:tr w:rsidR="007E7C25" w:rsidRPr="007E7C25" w:rsidTr="007E7C25">
        <w:trPr>
          <w:trHeight w:val="340"/>
        </w:trPr>
        <w:tc>
          <w:tcPr>
            <w:tcW w:w="562" w:type="dxa"/>
            <w:shd w:val="clear" w:color="auto" w:fill="auto"/>
          </w:tcPr>
          <w:p w:rsidR="007E7C25" w:rsidRPr="007E7C25" w:rsidRDefault="007E7C25" w:rsidP="00854FEC">
            <w:pPr>
              <w:spacing w:line="240" w:lineRule="auto"/>
              <w:contextualSpacing/>
              <w:jc w:val="center"/>
              <w:rPr>
                <w:rFonts w:ascii="Times New Roman" w:hAnsi="Times New Roman"/>
                <w:color w:val="000000" w:themeColor="text1"/>
              </w:rPr>
            </w:pPr>
            <w:r w:rsidRPr="007E7C25">
              <w:rPr>
                <w:rFonts w:ascii="Times New Roman" w:hAnsi="Times New Roman"/>
                <w:b/>
                <w:color w:val="000000" w:themeColor="text1"/>
              </w:rPr>
              <w:t>№ п\п</w:t>
            </w:r>
          </w:p>
        </w:tc>
        <w:tc>
          <w:tcPr>
            <w:tcW w:w="2977" w:type="dxa"/>
            <w:shd w:val="clear" w:color="auto" w:fill="auto"/>
          </w:tcPr>
          <w:p w:rsidR="007E7C25" w:rsidRPr="007E7C25" w:rsidRDefault="007E7C25" w:rsidP="00854FEC">
            <w:pPr>
              <w:spacing w:line="240" w:lineRule="auto"/>
              <w:contextualSpacing/>
              <w:jc w:val="center"/>
              <w:rPr>
                <w:rFonts w:ascii="Times New Roman" w:hAnsi="Times New Roman"/>
                <w:color w:val="000000" w:themeColor="text1"/>
              </w:rPr>
            </w:pPr>
            <w:r w:rsidRPr="007E7C25">
              <w:rPr>
                <w:rFonts w:ascii="Times New Roman" w:eastAsia="Times New Roman" w:hAnsi="Times New Roman"/>
                <w:b/>
              </w:rPr>
              <w:t>Технічні (якісні) характеристики предмета закупівлі</w:t>
            </w:r>
          </w:p>
        </w:tc>
        <w:tc>
          <w:tcPr>
            <w:tcW w:w="3686" w:type="dxa"/>
            <w:shd w:val="clear" w:color="auto" w:fill="auto"/>
          </w:tcPr>
          <w:p w:rsidR="007E7C25" w:rsidRPr="007E7C25" w:rsidRDefault="007E7C25" w:rsidP="00854FEC">
            <w:pPr>
              <w:spacing w:line="240" w:lineRule="auto"/>
              <w:contextualSpacing/>
              <w:jc w:val="center"/>
              <w:rPr>
                <w:rFonts w:ascii="Times New Roman" w:hAnsi="Times New Roman"/>
                <w:color w:val="000000" w:themeColor="text1"/>
              </w:rPr>
            </w:pPr>
            <w:r w:rsidRPr="007E7C25">
              <w:rPr>
                <w:rFonts w:ascii="Times New Roman" w:hAnsi="Times New Roman"/>
                <w:b/>
                <w:spacing w:val="9"/>
              </w:rPr>
              <w:t>Параметри технічних (якісних) характеристик предмета закупівлі</w:t>
            </w:r>
          </w:p>
        </w:tc>
        <w:tc>
          <w:tcPr>
            <w:tcW w:w="2835" w:type="dxa"/>
          </w:tcPr>
          <w:p w:rsidR="007E7C25" w:rsidRPr="007E7C25" w:rsidRDefault="007E7C25" w:rsidP="00854FEC">
            <w:pPr>
              <w:spacing w:line="240" w:lineRule="auto"/>
              <w:ind w:left="-35"/>
              <w:contextualSpacing/>
              <w:jc w:val="center"/>
              <w:rPr>
                <w:rFonts w:ascii="Times New Roman" w:hAnsi="Times New Roman"/>
                <w:b/>
                <w:color w:val="000000" w:themeColor="text1"/>
              </w:rPr>
            </w:pPr>
            <w:r w:rsidRPr="007E7C25">
              <w:rPr>
                <w:rFonts w:ascii="Times New Roman" w:eastAsia="Times New Roman" w:hAnsi="Times New Roman"/>
                <w:b/>
                <w:lang w:eastAsia="x-none"/>
              </w:rPr>
              <w:t>Обґрунтування технічних та якісних характеристик</w:t>
            </w:r>
          </w:p>
        </w:tc>
      </w:tr>
      <w:tr w:rsidR="007E7C25" w:rsidRPr="007E7C25" w:rsidTr="007E7C25">
        <w:trPr>
          <w:trHeight w:val="340"/>
        </w:trPr>
        <w:tc>
          <w:tcPr>
            <w:tcW w:w="562" w:type="dxa"/>
          </w:tcPr>
          <w:p w:rsidR="007E7C25" w:rsidRPr="007E7C25" w:rsidRDefault="007E7C25" w:rsidP="007E7C25">
            <w:pPr>
              <w:pStyle w:val="ad"/>
              <w:numPr>
                <w:ilvl w:val="0"/>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b/>
                <w:color w:val="000000" w:themeColor="text1"/>
                <w:spacing w:val="-1"/>
                <w:lang w:eastAsia="uk-UA"/>
              </w:rPr>
            </w:pPr>
            <w:r w:rsidRPr="007E7C25">
              <w:rPr>
                <w:rFonts w:ascii="Times New Roman" w:hAnsi="Times New Roman"/>
                <w:b/>
                <w:color w:val="000000" w:themeColor="text1"/>
              </w:rPr>
              <w:t xml:space="preserve">Технічне обслуговування іонного хроматографа </w:t>
            </w:r>
            <w:proofErr w:type="spellStart"/>
            <w:r w:rsidRPr="007E7C25">
              <w:rPr>
                <w:rFonts w:ascii="Times New Roman" w:hAnsi="Times New Roman"/>
                <w:b/>
                <w:color w:val="000000" w:themeColor="text1"/>
              </w:rPr>
              <w:t>Thermo</w:t>
            </w:r>
            <w:proofErr w:type="spellEnd"/>
            <w:r w:rsidRPr="007E7C25">
              <w:rPr>
                <w:rFonts w:ascii="Times New Roman" w:hAnsi="Times New Roman"/>
                <w:b/>
                <w:color w:val="000000" w:themeColor="text1"/>
              </w:rPr>
              <w:t xml:space="preserve"> </w:t>
            </w:r>
            <w:proofErr w:type="spellStart"/>
            <w:r w:rsidRPr="007E7C25">
              <w:rPr>
                <w:rFonts w:ascii="Times New Roman" w:hAnsi="Times New Roman"/>
                <w:b/>
                <w:color w:val="000000" w:themeColor="text1"/>
              </w:rPr>
              <w:t>Fisher</w:t>
            </w:r>
            <w:proofErr w:type="spellEnd"/>
            <w:r w:rsidRPr="007E7C25">
              <w:rPr>
                <w:rFonts w:ascii="Times New Roman" w:hAnsi="Times New Roman"/>
                <w:b/>
                <w:color w:val="000000" w:themeColor="text1"/>
              </w:rPr>
              <w:t xml:space="preserve"> </w:t>
            </w:r>
            <w:proofErr w:type="spellStart"/>
            <w:r w:rsidRPr="007E7C25">
              <w:rPr>
                <w:rFonts w:ascii="Times New Roman" w:hAnsi="Times New Roman"/>
                <w:b/>
                <w:color w:val="000000" w:themeColor="text1"/>
              </w:rPr>
              <w:t>Scientific</w:t>
            </w:r>
            <w:proofErr w:type="spellEnd"/>
            <w:r w:rsidRPr="007E7C25">
              <w:rPr>
                <w:rFonts w:ascii="Times New Roman" w:hAnsi="Times New Roman"/>
                <w:b/>
                <w:color w:val="000000" w:themeColor="text1"/>
              </w:rPr>
              <w:t xml:space="preserve"> ICS 6000</w:t>
            </w:r>
          </w:p>
        </w:tc>
        <w:tc>
          <w:tcPr>
            <w:tcW w:w="3686" w:type="dxa"/>
          </w:tcPr>
          <w:p w:rsidR="007E7C25" w:rsidRPr="007E7C25" w:rsidRDefault="007E7C25" w:rsidP="00854FEC">
            <w:pPr>
              <w:spacing w:line="240" w:lineRule="auto"/>
              <w:contextualSpacing/>
              <w:jc w:val="center"/>
              <w:rPr>
                <w:rFonts w:ascii="Times New Roman" w:hAnsi="Times New Roman"/>
                <w:b/>
                <w:bCs/>
                <w:color w:val="000000" w:themeColor="text1"/>
              </w:rPr>
            </w:pPr>
            <w:r w:rsidRPr="007E7C25">
              <w:rPr>
                <w:rFonts w:ascii="Times New Roman" w:hAnsi="Times New Roman"/>
                <w:b/>
                <w:bCs/>
                <w:color w:val="000000" w:themeColor="text1"/>
              </w:rPr>
              <w:t>1 шт.</w:t>
            </w:r>
          </w:p>
        </w:tc>
        <w:tc>
          <w:tcPr>
            <w:tcW w:w="2835" w:type="dxa"/>
          </w:tcPr>
          <w:p w:rsidR="007E7C25" w:rsidRPr="007E7C25" w:rsidRDefault="007E7C25" w:rsidP="00854FEC">
            <w:pPr>
              <w:spacing w:line="240" w:lineRule="auto"/>
              <w:ind w:left="-35"/>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rPr>
                <w:rFonts w:ascii="Times New Roman" w:hAnsi="Times New Roman"/>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rPr>
              <w:t xml:space="preserve">Обслуговування </w:t>
            </w:r>
            <w:proofErr w:type="spellStart"/>
            <w:r w:rsidRPr="007E7C25">
              <w:rPr>
                <w:rFonts w:ascii="Times New Roman" w:hAnsi="Times New Roman"/>
              </w:rPr>
              <w:t>автосамплеру</w:t>
            </w:r>
            <w:proofErr w:type="spellEnd"/>
            <w:r w:rsidRPr="007E7C25">
              <w:rPr>
                <w:rFonts w:ascii="Times New Roman" w:hAnsi="Times New Roman"/>
              </w:rPr>
              <w:t xml:space="preserve">, заміна дозуючого пристрою </w:t>
            </w:r>
            <w:proofErr w:type="spellStart"/>
            <w:r w:rsidRPr="007E7C25">
              <w:rPr>
                <w:rFonts w:ascii="Times New Roman" w:hAnsi="Times New Roman"/>
              </w:rPr>
              <w:t>автосамплеру</w:t>
            </w:r>
            <w:proofErr w:type="spellEnd"/>
          </w:p>
        </w:tc>
        <w:tc>
          <w:tcPr>
            <w:tcW w:w="2835" w:type="dxa"/>
            <w:vMerge w:val="restart"/>
          </w:tcPr>
          <w:p w:rsidR="007E7C25" w:rsidRPr="007E7C25" w:rsidRDefault="007E7C25" w:rsidP="00854FEC">
            <w:pPr>
              <w:spacing w:line="240" w:lineRule="auto"/>
              <w:ind w:left="-35"/>
              <w:contextualSpacing/>
              <w:jc w:val="center"/>
              <w:rPr>
                <w:rFonts w:ascii="Times New Roman" w:hAnsi="Times New Roman"/>
                <w:bCs/>
                <w:color w:val="000000" w:themeColor="text1"/>
              </w:rPr>
            </w:pPr>
            <w:r w:rsidRPr="007E7C25">
              <w:rPr>
                <w:rFonts w:ascii="Times New Roman" w:hAnsi="Times New Roman"/>
                <w:bCs/>
                <w:color w:val="000000" w:themeColor="text1"/>
              </w:rPr>
              <w:t xml:space="preserve">Для забезпечення справного технічного стану обладнання, відновлення характеристик до заявлених виробником параметрів, виявлення та усунення негативних факторів, що впливають на результати вимірювань, підтримки задовільного технічного стану з метою подовженого строку експлуатації обладнання, його частин та механізмів.  </w:t>
            </w:r>
          </w:p>
          <w:p w:rsidR="007E7C25" w:rsidRPr="007E7C25" w:rsidRDefault="007E7C25" w:rsidP="00854FEC">
            <w:pPr>
              <w:spacing w:line="240" w:lineRule="auto"/>
              <w:ind w:left="-35"/>
              <w:contextualSpacing/>
              <w:jc w:val="center"/>
              <w:rPr>
                <w:rFonts w:ascii="Times New Roman" w:hAnsi="Times New Roman"/>
                <w:bCs/>
                <w:color w:val="000000" w:themeColor="text1"/>
              </w:rPr>
            </w:pPr>
          </w:p>
          <w:p w:rsidR="007E7C25" w:rsidRPr="007E7C25" w:rsidRDefault="007E7C25" w:rsidP="00854FEC">
            <w:pPr>
              <w:spacing w:line="240" w:lineRule="auto"/>
              <w:ind w:left="-35"/>
              <w:contextualSpacing/>
              <w:jc w:val="center"/>
              <w:rPr>
                <w:rFonts w:ascii="Times New Roman" w:hAnsi="Times New Roman"/>
                <w:bCs/>
                <w:color w:val="000000" w:themeColor="text1"/>
              </w:rPr>
            </w:pPr>
          </w:p>
          <w:p w:rsidR="007E7C25" w:rsidRPr="007E7C25" w:rsidRDefault="007E7C25" w:rsidP="00854FEC">
            <w:pPr>
              <w:spacing w:line="240" w:lineRule="auto"/>
              <w:ind w:left="-35"/>
              <w:contextualSpacing/>
              <w:jc w:val="center"/>
              <w:rPr>
                <w:rFonts w:ascii="Times New Roman" w:hAnsi="Times New Roman"/>
                <w:bCs/>
                <w:color w:val="000000" w:themeColor="text1"/>
              </w:rPr>
            </w:pPr>
          </w:p>
          <w:p w:rsidR="007E7C25" w:rsidRPr="007E7C25" w:rsidRDefault="007E7C25" w:rsidP="00854FEC">
            <w:pPr>
              <w:spacing w:line="240" w:lineRule="auto"/>
              <w:ind w:left="-35"/>
              <w:contextualSpacing/>
              <w:jc w:val="center"/>
              <w:rPr>
                <w:rFonts w:ascii="Times New Roman" w:hAnsi="Times New Roman"/>
                <w:bCs/>
                <w:color w:val="000000" w:themeColor="text1"/>
              </w:rPr>
            </w:pPr>
          </w:p>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rPr>
              <w:t>Діагностика та ремонт градієнтного насосу хроматографічної системи, включаючи заміну ущільнень плунжерного насосу</w:t>
            </w:r>
          </w:p>
        </w:tc>
        <w:tc>
          <w:tcPr>
            <w:tcW w:w="2835" w:type="dxa"/>
            <w:vMerge/>
          </w:tcPr>
          <w:p w:rsidR="007E7C25" w:rsidRPr="007E7C25" w:rsidRDefault="007E7C25" w:rsidP="00854FEC">
            <w:pPr>
              <w:spacing w:line="240" w:lineRule="auto"/>
              <w:ind w:left="-35"/>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rPr>
              <w:t xml:space="preserve">Діагностика та ремонт </w:t>
            </w:r>
            <w:proofErr w:type="spellStart"/>
            <w:r w:rsidRPr="007E7C25">
              <w:rPr>
                <w:rFonts w:ascii="Times New Roman" w:hAnsi="Times New Roman"/>
              </w:rPr>
              <w:t>ізократичного</w:t>
            </w:r>
            <w:proofErr w:type="spellEnd"/>
            <w:r w:rsidRPr="007E7C25">
              <w:rPr>
                <w:rFonts w:ascii="Times New Roman" w:hAnsi="Times New Roman"/>
              </w:rPr>
              <w:t xml:space="preserve"> насосу хроматографічної системи, включаючи заміну ущільнень плунжерного насосу</w:t>
            </w:r>
          </w:p>
        </w:tc>
        <w:tc>
          <w:tcPr>
            <w:tcW w:w="2835" w:type="dxa"/>
            <w:vMerge/>
          </w:tcPr>
          <w:p w:rsidR="007E7C25" w:rsidRPr="007E7C25" w:rsidRDefault="007E7C25" w:rsidP="00854FEC">
            <w:pPr>
              <w:spacing w:line="240" w:lineRule="auto"/>
              <w:ind w:left="-35"/>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rPr>
              <w:t>Поновлення змащувальних матеріалів рухомих вузлів системи</w:t>
            </w:r>
          </w:p>
        </w:tc>
        <w:tc>
          <w:tcPr>
            <w:tcW w:w="2835" w:type="dxa"/>
            <w:vMerge/>
          </w:tcPr>
          <w:p w:rsidR="007E7C25" w:rsidRPr="007E7C25" w:rsidRDefault="007E7C25" w:rsidP="00854FEC">
            <w:pPr>
              <w:spacing w:line="240" w:lineRule="auto"/>
              <w:ind w:left="-35"/>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rPr>
              <w:t>Діагностичний огляд та обслуговування дегазатора</w:t>
            </w:r>
          </w:p>
        </w:tc>
        <w:tc>
          <w:tcPr>
            <w:tcW w:w="2835" w:type="dxa"/>
            <w:vMerge/>
          </w:tcPr>
          <w:p w:rsidR="007E7C25" w:rsidRPr="007E7C25" w:rsidRDefault="007E7C25" w:rsidP="00854FEC">
            <w:pPr>
              <w:spacing w:line="240" w:lineRule="auto"/>
              <w:ind w:left="-35"/>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rPr>
              <w:t>Перевірка герметичності з’єднань, усунення витоків за необхідності</w:t>
            </w:r>
          </w:p>
        </w:tc>
        <w:tc>
          <w:tcPr>
            <w:tcW w:w="2835" w:type="dxa"/>
            <w:vMerge/>
          </w:tcPr>
          <w:p w:rsidR="007E7C25" w:rsidRPr="007E7C25" w:rsidRDefault="007E7C25" w:rsidP="00854FEC">
            <w:pPr>
              <w:spacing w:line="240" w:lineRule="auto"/>
              <w:ind w:left="-35"/>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rPr>
            </w:pPr>
            <w:r w:rsidRPr="007E7C25">
              <w:rPr>
                <w:rFonts w:ascii="Times New Roman" w:hAnsi="Times New Roman"/>
              </w:rPr>
              <w:t>Чистка та обслуговування вхідного та вихідного клапанів насоса</w:t>
            </w:r>
          </w:p>
        </w:tc>
        <w:tc>
          <w:tcPr>
            <w:tcW w:w="2835" w:type="dxa"/>
            <w:vMerge/>
          </w:tcPr>
          <w:p w:rsidR="007E7C25" w:rsidRPr="007E7C25" w:rsidRDefault="007E7C25" w:rsidP="00854FEC">
            <w:pPr>
              <w:spacing w:line="240" w:lineRule="auto"/>
              <w:ind w:left="-35"/>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rPr>
            </w:pPr>
            <w:r w:rsidRPr="007E7C25">
              <w:rPr>
                <w:rFonts w:ascii="Times New Roman" w:hAnsi="Times New Roman"/>
              </w:rPr>
              <w:t>Чистка та обслуговування термостата колонок</w:t>
            </w:r>
          </w:p>
        </w:tc>
        <w:tc>
          <w:tcPr>
            <w:tcW w:w="2835" w:type="dxa"/>
            <w:vMerge/>
          </w:tcPr>
          <w:p w:rsidR="007E7C25" w:rsidRPr="007E7C25" w:rsidRDefault="007E7C25" w:rsidP="00854FEC">
            <w:pPr>
              <w:spacing w:line="240" w:lineRule="auto"/>
              <w:ind w:left="-35"/>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rPr>
            </w:pPr>
            <w:r w:rsidRPr="007E7C25">
              <w:rPr>
                <w:rFonts w:ascii="Times New Roman" w:hAnsi="Times New Roman"/>
              </w:rPr>
              <w:t>Чистка та обслуговування детектора</w:t>
            </w:r>
          </w:p>
        </w:tc>
        <w:tc>
          <w:tcPr>
            <w:tcW w:w="2835" w:type="dxa"/>
            <w:vMerge/>
          </w:tcPr>
          <w:p w:rsidR="007E7C25" w:rsidRPr="007E7C25" w:rsidRDefault="007E7C25" w:rsidP="00854FEC">
            <w:pPr>
              <w:spacing w:line="240" w:lineRule="auto"/>
              <w:ind w:left="-35"/>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rPr>
            </w:pPr>
            <w:r w:rsidRPr="007E7C25">
              <w:rPr>
                <w:rFonts w:ascii="Times New Roman" w:hAnsi="Times New Roman"/>
              </w:rPr>
              <w:t>Діагностика та налаштування з’єднання з персональним комп’ютером з встановленим програмним забезпеченням</w:t>
            </w:r>
          </w:p>
        </w:tc>
        <w:tc>
          <w:tcPr>
            <w:tcW w:w="2835" w:type="dxa"/>
            <w:vMerge/>
          </w:tcPr>
          <w:p w:rsidR="007E7C25" w:rsidRPr="007E7C25" w:rsidRDefault="007E7C25" w:rsidP="00854FEC">
            <w:pPr>
              <w:spacing w:line="240" w:lineRule="auto"/>
              <w:ind w:left="-35"/>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rPr>
            </w:pPr>
            <w:r w:rsidRPr="007E7C25">
              <w:rPr>
                <w:rFonts w:ascii="Times New Roman" w:hAnsi="Times New Roman"/>
              </w:rPr>
              <w:t>Тестування метрологічних характеристик приладу на відповідність технічній специфікації виробника</w:t>
            </w:r>
          </w:p>
        </w:tc>
        <w:tc>
          <w:tcPr>
            <w:tcW w:w="2835" w:type="dxa"/>
            <w:vMerge/>
          </w:tcPr>
          <w:p w:rsidR="007E7C25" w:rsidRPr="007E7C25" w:rsidRDefault="007E7C25" w:rsidP="00854FEC">
            <w:pPr>
              <w:spacing w:line="240" w:lineRule="auto"/>
              <w:ind w:left="-35"/>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0"/>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r w:rsidRPr="007E7C25">
              <w:rPr>
                <w:rFonts w:ascii="Times New Roman" w:hAnsi="Times New Roman"/>
                <w:b/>
                <w:color w:val="000000" w:themeColor="text1"/>
                <w:spacing w:val="-1"/>
                <w:lang w:eastAsia="uk-UA"/>
              </w:rPr>
              <w:t xml:space="preserve">Технічне обслуговування високоефективного рідинного </w:t>
            </w:r>
            <w:proofErr w:type="spellStart"/>
            <w:r w:rsidRPr="007E7C25">
              <w:rPr>
                <w:rFonts w:ascii="Times New Roman" w:hAnsi="Times New Roman"/>
                <w:b/>
                <w:color w:val="000000" w:themeColor="text1"/>
                <w:spacing w:val="-1"/>
                <w:lang w:eastAsia="uk-UA"/>
              </w:rPr>
              <w:t>хроматографо</w:t>
            </w:r>
            <w:proofErr w:type="spellEnd"/>
            <w:r w:rsidRPr="007E7C25">
              <w:rPr>
                <w:rFonts w:ascii="Times New Roman" w:hAnsi="Times New Roman"/>
                <w:b/>
                <w:color w:val="000000" w:themeColor="text1"/>
                <w:spacing w:val="-1"/>
                <w:lang w:eastAsia="uk-UA"/>
              </w:rPr>
              <w:t xml:space="preserve"> </w:t>
            </w:r>
            <w:proofErr w:type="spellStart"/>
            <w:r w:rsidRPr="007E7C25">
              <w:rPr>
                <w:rFonts w:ascii="Times New Roman" w:hAnsi="Times New Roman"/>
                <w:b/>
                <w:color w:val="000000" w:themeColor="text1"/>
                <w:spacing w:val="-1"/>
                <w:lang w:eastAsia="uk-UA"/>
              </w:rPr>
              <w:t>Agilent</w:t>
            </w:r>
            <w:proofErr w:type="spellEnd"/>
            <w:r w:rsidRPr="007E7C25">
              <w:rPr>
                <w:rFonts w:ascii="Times New Roman" w:hAnsi="Times New Roman"/>
                <w:b/>
                <w:color w:val="000000" w:themeColor="text1"/>
                <w:spacing w:val="-1"/>
                <w:lang w:eastAsia="uk-UA"/>
              </w:rPr>
              <w:t xml:space="preserve"> Technologies 1100 </w:t>
            </w:r>
            <w:proofErr w:type="spellStart"/>
            <w:r w:rsidRPr="007E7C25">
              <w:rPr>
                <w:rFonts w:ascii="Times New Roman" w:hAnsi="Times New Roman"/>
                <w:b/>
                <w:color w:val="000000" w:themeColor="text1"/>
                <w:spacing w:val="-1"/>
                <w:lang w:eastAsia="uk-UA"/>
              </w:rPr>
              <w:t>Series</w:t>
            </w:r>
            <w:proofErr w:type="spellEnd"/>
            <w:r w:rsidRPr="007E7C25">
              <w:rPr>
                <w:rFonts w:ascii="Times New Roman" w:hAnsi="Times New Roman"/>
                <w:b/>
                <w:color w:val="000000" w:themeColor="text1"/>
                <w:spacing w:val="-1"/>
                <w:lang w:eastAsia="uk-UA"/>
              </w:rPr>
              <w:t xml:space="preserve"> з </w:t>
            </w:r>
            <w:proofErr w:type="spellStart"/>
            <w:r w:rsidRPr="007E7C25">
              <w:rPr>
                <w:rFonts w:ascii="Times New Roman" w:hAnsi="Times New Roman"/>
                <w:b/>
                <w:color w:val="000000" w:themeColor="text1"/>
                <w:spacing w:val="-1"/>
                <w:lang w:eastAsia="uk-UA"/>
              </w:rPr>
              <w:t>діодно</w:t>
            </w:r>
            <w:proofErr w:type="spellEnd"/>
            <w:r w:rsidRPr="007E7C25">
              <w:rPr>
                <w:rFonts w:ascii="Times New Roman" w:hAnsi="Times New Roman"/>
                <w:b/>
                <w:color w:val="000000" w:themeColor="text1"/>
                <w:spacing w:val="-1"/>
                <w:lang w:eastAsia="uk-UA"/>
              </w:rPr>
              <w:t>-матричним детектором</w:t>
            </w: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b/>
                <w:bCs/>
                <w:color w:val="000000" w:themeColor="text1"/>
              </w:rPr>
              <w:t>1 шт.</w:t>
            </w:r>
          </w:p>
        </w:tc>
        <w:tc>
          <w:tcPr>
            <w:tcW w:w="2835" w:type="dxa"/>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color w:val="000000" w:themeColor="text1"/>
                <w:spacing w:val="-1"/>
                <w:sz w:val="22"/>
                <w:szCs w:val="22"/>
                <w:lang w:val="uk-UA"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rPr>
              <w:t>Обслуговування дегазатора та ремонт за необхідності</w:t>
            </w:r>
          </w:p>
        </w:tc>
        <w:tc>
          <w:tcPr>
            <w:tcW w:w="2835" w:type="dxa"/>
            <w:vMerge w:val="restart"/>
          </w:tcPr>
          <w:p w:rsidR="007E7C25" w:rsidRPr="007E7C25" w:rsidRDefault="007E7C25" w:rsidP="00854FEC">
            <w:pPr>
              <w:spacing w:line="240" w:lineRule="auto"/>
              <w:ind w:left="-35"/>
              <w:contextualSpacing/>
              <w:jc w:val="center"/>
              <w:rPr>
                <w:rFonts w:ascii="Times New Roman" w:hAnsi="Times New Roman"/>
                <w:bCs/>
                <w:color w:val="000000" w:themeColor="text1"/>
              </w:rPr>
            </w:pPr>
            <w:r w:rsidRPr="007E7C25">
              <w:rPr>
                <w:rFonts w:ascii="Times New Roman" w:hAnsi="Times New Roman"/>
                <w:bCs/>
                <w:color w:val="000000" w:themeColor="text1"/>
              </w:rPr>
              <w:t xml:space="preserve">Для забезпечення справного технічного стану обладнання, відновлення характеристик до заявлених виробником параметрів, виявлення та усунення негативних факторів, що впливають на результати вимірювань, підтримки задовільного технічного стану з метою подовженого строку експлуатації обладнання, його частин та механізмів.  </w:t>
            </w:r>
          </w:p>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color w:val="000000" w:themeColor="text1"/>
                <w:spacing w:val="-1"/>
                <w:sz w:val="22"/>
                <w:szCs w:val="22"/>
                <w:lang w:val="uk-UA"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rPr>
              <w:t>Перевірка герметичності з’єднань, усунення витоків за необхідності</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color w:val="000000" w:themeColor="text1"/>
                <w:spacing w:val="-1"/>
                <w:sz w:val="22"/>
                <w:szCs w:val="22"/>
                <w:lang w:val="uk-UA"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rPr>
              <w:t>Обслуговування насосу хроматографічної системи, включаючи заміну ущільнень плунжерного насосу</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color w:val="000000" w:themeColor="text1"/>
                <w:spacing w:val="-1"/>
                <w:sz w:val="22"/>
                <w:szCs w:val="22"/>
                <w:lang w:val="uk-UA"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rPr>
              <w:t xml:space="preserve">Обслуговування </w:t>
            </w:r>
            <w:proofErr w:type="spellStart"/>
            <w:r w:rsidRPr="007E7C25">
              <w:rPr>
                <w:rFonts w:ascii="Times New Roman" w:hAnsi="Times New Roman"/>
              </w:rPr>
              <w:t>автосамплеру</w:t>
            </w:r>
            <w:proofErr w:type="spellEnd"/>
            <w:r w:rsidRPr="007E7C25">
              <w:rPr>
                <w:rFonts w:ascii="Times New Roman" w:hAnsi="Times New Roman"/>
              </w:rPr>
              <w:t xml:space="preserve">, заміна дозуючого пристрою </w:t>
            </w:r>
            <w:proofErr w:type="spellStart"/>
            <w:r w:rsidRPr="007E7C25">
              <w:rPr>
                <w:rFonts w:ascii="Times New Roman" w:hAnsi="Times New Roman"/>
              </w:rPr>
              <w:t>автосамплеру</w:t>
            </w:r>
            <w:proofErr w:type="spellEnd"/>
            <w:r w:rsidRPr="007E7C25">
              <w:rPr>
                <w:rFonts w:ascii="Times New Roman" w:hAnsi="Times New Roman"/>
              </w:rPr>
              <w:t xml:space="preserve"> в разі необхідності</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rPr>
              <w:t>Поновлення змащувальних матеріалів рухомих вузлів системи</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rPr>
            </w:pPr>
            <w:r w:rsidRPr="007E7C25">
              <w:rPr>
                <w:rFonts w:ascii="Times New Roman" w:hAnsi="Times New Roman"/>
              </w:rPr>
              <w:t>Промивка вхідного та вихідного клапанів насоса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rPr>
            </w:pPr>
            <w:r w:rsidRPr="007E7C25">
              <w:rPr>
                <w:rFonts w:ascii="Times New Roman" w:hAnsi="Times New Roman"/>
              </w:rPr>
              <w:t>Чистка та обслуговування термостата колонок, детектора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pStyle w:val="ad"/>
              <w:ind w:left="0"/>
              <w:rPr>
                <w:sz w:val="22"/>
                <w:szCs w:val="22"/>
                <w:lang w:val="uk-UA"/>
              </w:rPr>
            </w:pPr>
          </w:p>
        </w:tc>
        <w:tc>
          <w:tcPr>
            <w:tcW w:w="3686" w:type="dxa"/>
          </w:tcPr>
          <w:p w:rsidR="007E7C25" w:rsidRPr="007E7C25" w:rsidRDefault="007E7C25" w:rsidP="00854FEC">
            <w:pPr>
              <w:spacing w:line="240" w:lineRule="auto"/>
              <w:contextualSpacing/>
              <w:jc w:val="center"/>
              <w:rPr>
                <w:rFonts w:ascii="Times New Roman" w:hAnsi="Times New Roman"/>
              </w:rPr>
            </w:pPr>
            <w:r w:rsidRPr="007E7C25">
              <w:rPr>
                <w:rFonts w:ascii="Times New Roman" w:hAnsi="Times New Roman"/>
              </w:rPr>
              <w:t>Тестування метрологічних характеристик приладу на відповідність технічній специфікації виробника.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0"/>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r w:rsidRPr="007E7C25">
              <w:rPr>
                <w:rFonts w:ascii="Times New Roman" w:hAnsi="Times New Roman"/>
                <w:b/>
                <w:color w:val="000000" w:themeColor="text1"/>
                <w:spacing w:val="-1"/>
                <w:lang w:eastAsia="uk-UA"/>
              </w:rPr>
              <w:t xml:space="preserve">Технічне обслуговування газового хроматографа з полум’яно-іонізаційним детектором </w:t>
            </w:r>
            <w:proofErr w:type="spellStart"/>
            <w:r w:rsidRPr="007E7C25">
              <w:rPr>
                <w:rFonts w:ascii="Times New Roman" w:hAnsi="Times New Roman"/>
                <w:b/>
                <w:color w:val="000000" w:themeColor="text1"/>
                <w:spacing w:val="-1"/>
                <w:lang w:eastAsia="uk-UA"/>
              </w:rPr>
              <w:t>Shimadzu</w:t>
            </w:r>
            <w:proofErr w:type="spellEnd"/>
            <w:r w:rsidRPr="007E7C25">
              <w:rPr>
                <w:rFonts w:ascii="Times New Roman" w:hAnsi="Times New Roman"/>
                <w:b/>
                <w:color w:val="000000" w:themeColor="text1"/>
                <w:spacing w:val="-1"/>
                <w:lang w:eastAsia="uk-UA"/>
              </w:rPr>
              <w:t xml:space="preserve"> GC 2010 </w:t>
            </w:r>
            <w:proofErr w:type="spellStart"/>
            <w:r w:rsidRPr="007E7C25">
              <w:rPr>
                <w:rFonts w:ascii="Times New Roman" w:hAnsi="Times New Roman"/>
                <w:b/>
                <w:color w:val="000000" w:themeColor="text1"/>
                <w:spacing w:val="-1"/>
                <w:lang w:eastAsia="uk-UA"/>
              </w:rPr>
              <w:t>Plus</w:t>
            </w:r>
            <w:proofErr w:type="spellEnd"/>
            <w:r w:rsidRPr="007E7C25">
              <w:rPr>
                <w:rFonts w:ascii="Times New Roman" w:hAnsi="Times New Roman"/>
                <w:b/>
                <w:color w:val="000000" w:themeColor="text1"/>
                <w:spacing w:val="-1"/>
                <w:lang w:eastAsia="uk-UA"/>
              </w:rPr>
              <w:t xml:space="preserve"> </w:t>
            </w: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b/>
                <w:bCs/>
                <w:color w:val="000000" w:themeColor="text1"/>
              </w:rPr>
              <w:t>1 шт.</w:t>
            </w:r>
          </w:p>
        </w:tc>
        <w:tc>
          <w:tcPr>
            <w:tcW w:w="2835" w:type="dxa"/>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Обслуговування </w:t>
            </w:r>
            <w:proofErr w:type="spellStart"/>
            <w:r w:rsidRPr="007E7C25">
              <w:rPr>
                <w:rFonts w:ascii="Times New Roman" w:hAnsi="Times New Roman"/>
                <w:color w:val="000000" w:themeColor="text1"/>
                <w:spacing w:val="-1"/>
                <w:lang w:eastAsia="uk-UA"/>
              </w:rPr>
              <w:t>автосамплеру</w:t>
            </w:r>
            <w:proofErr w:type="spellEnd"/>
            <w:r w:rsidRPr="007E7C25">
              <w:rPr>
                <w:rFonts w:ascii="Times New Roman" w:hAnsi="Times New Roman"/>
                <w:color w:val="000000" w:themeColor="text1"/>
                <w:spacing w:val="-1"/>
                <w:lang w:eastAsia="uk-UA"/>
              </w:rPr>
              <w:t xml:space="preserve">, заміна дозуючого пристрою </w:t>
            </w:r>
            <w:proofErr w:type="spellStart"/>
            <w:r w:rsidRPr="007E7C25">
              <w:rPr>
                <w:rFonts w:ascii="Times New Roman" w:hAnsi="Times New Roman"/>
                <w:color w:val="000000" w:themeColor="text1"/>
                <w:spacing w:val="-1"/>
                <w:lang w:eastAsia="uk-UA"/>
              </w:rPr>
              <w:t>автосамплеру</w:t>
            </w:r>
            <w:proofErr w:type="spellEnd"/>
            <w:r w:rsidRPr="007E7C25">
              <w:rPr>
                <w:rFonts w:ascii="Times New Roman" w:hAnsi="Times New Roman"/>
                <w:color w:val="000000" w:themeColor="text1"/>
                <w:spacing w:val="-1"/>
                <w:lang w:eastAsia="uk-UA"/>
              </w:rPr>
              <w:t xml:space="preserve"> в разі необхідності</w:t>
            </w:r>
          </w:p>
        </w:tc>
        <w:tc>
          <w:tcPr>
            <w:tcW w:w="2835" w:type="dxa"/>
            <w:vMerge w:val="restart"/>
          </w:tcPr>
          <w:p w:rsidR="007E7C25" w:rsidRPr="007E7C25" w:rsidRDefault="007E7C25" w:rsidP="00854FEC">
            <w:pPr>
              <w:spacing w:line="240" w:lineRule="auto"/>
              <w:ind w:left="-35"/>
              <w:contextualSpacing/>
              <w:jc w:val="center"/>
              <w:rPr>
                <w:rFonts w:ascii="Times New Roman" w:hAnsi="Times New Roman"/>
                <w:bCs/>
                <w:color w:val="000000" w:themeColor="text1"/>
              </w:rPr>
            </w:pPr>
            <w:r w:rsidRPr="007E7C25">
              <w:rPr>
                <w:rFonts w:ascii="Times New Roman" w:hAnsi="Times New Roman"/>
                <w:bCs/>
                <w:color w:val="000000" w:themeColor="text1"/>
              </w:rPr>
              <w:t xml:space="preserve">Для забезпечення справного технічного стану обладнання, відновлення характеристик до заявлених виробником параметрів, виявлення та усунення негативних факторів, що впливають на результати вимірювань, підтримки задовільного технічного стану з метою подовженого строку експлуатації обладнання, його частин та механізмів.  </w:t>
            </w:r>
          </w:p>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Поновлення змащувальних матеріалів рухомих вузлів </w:t>
            </w:r>
            <w:proofErr w:type="spellStart"/>
            <w:r w:rsidRPr="007E7C25">
              <w:rPr>
                <w:rFonts w:ascii="Times New Roman" w:hAnsi="Times New Roman"/>
                <w:color w:val="000000" w:themeColor="text1"/>
                <w:spacing w:val="-1"/>
                <w:lang w:eastAsia="uk-UA"/>
              </w:rPr>
              <w:t>автосамплеру</w:t>
            </w:r>
            <w:proofErr w:type="spellEnd"/>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Чистка та обслуговування інжектора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Чистка та обслуговування системи нагріву та охолодження термостату</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Чистка детектора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Чистка ізолюючих шайб, перевірка стану сопла детектора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Заміна лайнера та його ущільнюючого кільця</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Заміна </w:t>
            </w:r>
            <w:proofErr w:type="spellStart"/>
            <w:r w:rsidRPr="007E7C25">
              <w:rPr>
                <w:rFonts w:ascii="Times New Roman" w:hAnsi="Times New Roman"/>
                <w:color w:val="000000" w:themeColor="text1"/>
                <w:spacing w:val="-1"/>
                <w:lang w:eastAsia="uk-UA"/>
              </w:rPr>
              <w:t>септи</w:t>
            </w:r>
            <w:proofErr w:type="spellEnd"/>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Перевірка герметичності аналітичних ліній каналів подачі газу-носія, </w:t>
            </w:r>
            <w:proofErr w:type="spellStart"/>
            <w:r w:rsidRPr="007E7C25">
              <w:rPr>
                <w:rFonts w:ascii="Times New Roman" w:hAnsi="Times New Roman"/>
                <w:color w:val="000000" w:themeColor="text1"/>
                <w:spacing w:val="-1"/>
                <w:lang w:eastAsia="uk-UA"/>
              </w:rPr>
              <w:t>обдувки</w:t>
            </w:r>
            <w:proofErr w:type="spellEnd"/>
            <w:r w:rsidRPr="007E7C25">
              <w:rPr>
                <w:rFonts w:ascii="Times New Roman" w:hAnsi="Times New Roman"/>
                <w:color w:val="000000" w:themeColor="text1"/>
                <w:spacing w:val="-1"/>
                <w:lang w:eastAsia="uk-UA"/>
              </w:rPr>
              <w:t xml:space="preserve"> </w:t>
            </w:r>
            <w:proofErr w:type="spellStart"/>
            <w:r w:rsidRPr="007E7C25">
              <w:rPr>
                <w:rFonts w:ascii="Times New Roman" w:hAnsi="Times New Roman"/>
                <w:color w:val="000000" w:themeColor="text1"/>
                <w:spacing w:val="-1"/>
                <w:lang w:eastAsia="uk-UA"/>
              </w:rPr>
              <w:t>септи</w:t>
            </w:r>
            <w:proofErr w:type="spellEnd"/>
            <w:r w:rsidRPr="007E7C25">
              <w:rPr>
                <w:rFonts w:ascii="Times New Roman" w:hAnsi="Times New Roman"/>
                <w:color w:val="000000" w:themeColor="text1"/>
                <w:spacing w:val="-1"/>
                <w:lang w:eastAsia="uk-UA"/>
              </w:rPr>
              <w:t xml:space="preserve"> та каналу скидання потоку ділення</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Перевірка робочих параметрів фільтрів в каналах подачі газу-носія, </w:t>
            </w:r>
            <w:proofErr w:type="spellStart"/>
            <w:r w:rsidRPr="007E7C25">
              <w:rPr>
                <w:rFonts w:ascii="Times New Roman" w:hAnsi="Times New Roman"/>
                <w:color w:val="000000" w:themeColor="text1"/>
                <w:spacing w:val="-1"/>
                <w:lang w:eastAsia="uk-UA"/>
              </w:rPr>
              <w:t>обдувки</w:t>
            </w:r>
            <w:proofErr w:type="spellEnd"/>
            <w:r w:rsidRPr="007E7C25">
              <w:rPr>
                <w:rFonts w:ascii="Times New Roman" w:hAnsi="Times New Roman"/>
                <w:color w:val="000000" w:themeColor="text1"/>
                <w:spacing w:val="-1"/>
                <w:lang w:eastAsia="uk-UA"/>
              </w:rPr>
              <w:t xml:space="preserve"> </w:t>
            </w:r>
            <w:proofErr w:type="spellStart"/>
            <w:r w:rsidRPr="007E7C25">
              <w:rPr>
                <w:rFonts w:ascii="Times New Roman" w:hAnsi="Times New Roman"/>
                <w:color w:val="000000" w:themeColor="text1"/>
                <w:spacing w:val="-1"/>
                <w:lang w:eastAsia="uk-UA"/>
              </w:rPr>
              <w:t>септи</w:t>
            </w:r>
            <w:proofErr w:type="spellEnd"/>
            <w:r w:rsidRPr="007E7C25">
              <w:rPr>
                <w:rFonts w:ascii="Times New Roman" w:hAnsi="Times New Roman"/>
                <w:color w:val="000000" w:themeColor="text1"/>
                <w:spacing w:val="-1"/>
                <w:lang w:eastAsia="uk-UA"/>
              </w:rPr>
              <w:t xml:space="preserve"> та каналу скидання потоку ділення</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температурних режимів, параметрів інжектора (за потоками та тиском)</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температурних режимів, чутливості, параметру шуму детектора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температурних режимів термостату</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Кондиціонування приладу</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Обслуговування компресора стисненого повітря</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Обслуговування генератора водню</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Заміна фільтрів очистки газів</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Тестування метрологічних характеристик приладу на відповідність технічній специфікації виробника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0"/>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b/>
                <w:color w:val="000000" w:themeColor="text1"/>
                <w:spacing w:val="-1"/>
                <w:lang w:eastAsia="uk-UA"/>
              </w:rPr>
            </w:pPr>
            <w:r w:rsidRPr="007E7C25">
              <w:rPr>
                <w:rFonts w:ascii="Times New Roman" w:hAnsi="Times New Roman"/>
                <w:b/>
                <w:color w:val="000000" w:themeColor="text1"/>
                <w:spacing w:val="-1"/>
                <w:lang w:eastAsia="uk-UA"/>
              </w:rPr>
              <w:t xml:space="preserve">Технічне обслуговування газового хроматографа з полум’яно-іонізаційним детектором </w:t>
            </w:r>
            <w:proofErr w:type="spellStart"/>
            <w:r w:rsidRPr="007E7C25">
              <w:rPr>
                <w:rFonts w:ascii="Times New Roman" w:hAnsi="Times New Roman"/>
                <w:b/>
                <w:color w:val="000000" w:themeColor="text1"/>
                <w:spacing w:val="-1"/>
                <w:lang w:eastAsia="uk-UA"/>
              </w:rPr>
              <w:t>Shimadzu</w:t>
            </w:r>
            <w:proofErr w:type="spellEnd"/>
            <w:r w:rsidRPr="007E7C25">
              <w:rPr>
                <w:rFonts w:ascii="Times New Roman" w:hAnsi="Times New Roman"/>
                <w:b/>
                <w:color w:val="000000" w:themeColor="text1"/>
                <w:spacing w:val="-1"/>
                <w:lang w:eastAsia="uk-UA"/>
              </w:rPr>
              <w:t xml:space="preserve"> GC 2010 </w:t>
            </w:r>
            <w:proofErr w:type="spellStart"/>
            <w:r w:rsidRPr="007E7C25">
              <w:rPr>
                <w:rFonts w:ascii="Times New Roman" w:hAnsi="Times New Roman"/>
                <w:b/>
                <w:color w:val="000000" w:themeColor="text1"/>
                <w:spacing w:val="-1"/>
                <w:lang w:eastAsia="uk-UA"/>
              </w:rPr>
              <w:t>Pro</w:t>
            </w:r>
            <w:proofErr w:type="spellEnd"/>
            <w:r w:rsidRPr="007E7C25">
              <w:rPr>
                <w:rFonts w:ascii="Times New Roman" w:hAnsi="Times New Roman"/>
                <w:b/>
                <w:color w:val="000000" w:themeColor="text1"/>
                <w:spacing w:val="-1"/>
                <w:lang w:eastAsia="uk-UA"/>
              </w:rPr>
              <w:t xml:space="preserve"> </w:t>
            </w: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b/>
                <w:bCs/>
                <w:color w:val="000000" w:themeColor="text1"/>
              </w:rPr>
              <w:t>1 шт.</w:t>
            </w:r>
          </w:p>
        </w:tc>
        <w:tc>
          <w:tcPr>
            <w:tcW w:w="2835" w:type="dxa"/>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Обслуговування </w:t>
            </w:r>
            <w:proofErr w:type="spellStart"/>
            <w:r w:rsidRPr="007E7C25">
              <w:rPr>
                <w:rFonts w:ascii="Times New Roman" w:hAnsi="Times New Roman"/>
                <w:color w:val="000000" w:themeColor="text1"/>
                <w:spacing w:val="-1"/>
                <w:lang w:eastAsia="uk-UA"/>
              </w:rPr>
              <w:t>автосамплеру</w:t>
            </w:r>
            <w:proofErr w:type="spellEnd"/>
            <w:r w:rsidRPr="007E7C25">
              <w:rPr>
                <w:rFonts w:ascii="Times New Roman" w:hAnsi="Times New Roman"/>
                <w:color w:val="000000" w:themeColor="text1"/>
                <w:spacing w:val="-1"/>
                <w:lang w:eastAsia="uk-UA"/>
              </w:rPr>
              <w:t xml:space="preserve">, заміна дозуючого пристрою </w:t>
            </w:r>
            <w:proofErr w:type="spellStart"/>
            <w:r w:rsidRPr="007E7C25">
              <w:rPr>
                <w:rFonts w:ascii="Times New Roman" w:hAnsi="Times New Roman"/>
                <w:color w:val="000000" w:themeColor="text1"/>
                <w:spacing w:val="-1"/>
                <w:lang w:eastAsia="uk-UA"/>
              </w:rPr>
              <w:t>автосамплеру</w:t>
            </w:r>
            <w:proofErr w:type="spellEnd"/>
          </w:p>
        </w:tc>
        <w:tc>
          <w:tcPr>
            <w:tcW w:w="2835" w:type="dxa"/>
            <w:vMerge w:val="restart"/>
          </w:tcPr>
          <w:p w:rsidR="007E7C25" w:rsidRPr="007E7C25" w:rsidRDefault="007E7C25" w:rsidP="00854FEC">
            <w:pPr>
              <w:spacing w:line="240" w:lineRule="auto"/>
              <w:ind w:left="-35"/>
              <w:contextualSpacing/>
              <w:jc w:val="center"/>
              <w:rPr>
                <w:rFonts w:ascii="Times New Roman" w:hAnsi="Times New Roman"/>
                <w:bCs/>
                <w:color w:val="000000" w:themeColor="text1"/>
              </w:rPr>
            </w:pPr>
            <w:r w:rsidRPr="007E7C25">
              <w:rPr>
                <w:rFonts w:ascii="Times New Roman" w:hAnsi="Times New Roman"/>
                <w:bCs/>
                <w:color w:val="000000" w:themeColor="text1"/>
              </w:rPr>
              <w:t xml:space="preserve">Для забезпечення справного технічного стану обладнання, відновлення характеристик до заявлених виробником параметрів, виявлення та усунення негативних факторів, що впливають на результати вимірювань, підтримки задовільного технічного стану з метою подовженого строку експлуатації обладнання, його частин та механізмів.  </w:t>
            </w:r>
          </w:p>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Поновлення змащувальних матеріалів рухомих вузлів </w:t>
            </w:r>
            <w:proofErr w:type="spellStart"/>
            <w:r w:rsidRPr="007E7C25">
              <w:rPr>
                <w:rFonts w:ascii="Times New Roman" w:hAnsi="Times New Roman"/>
                <w:color w:val="000000" w:themeColor="text1"/>
                <w:spacing w:val="-1"/>
                <w:lang w:eastAsia="uk-UA"/>
              </w:rPr>
              <w:t>автосамплеру</w:t>
            </w:r>
            <w:proofErr w:type="spellEnd"/>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Заміна лайнера та його ущільнюючого кільця</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Заміна </w:t>
            </w:r>
            <w:proofErr w:type="spellStart"/>
            <w:r w:rsidRPr="007E7C25">
              <w:rPr>
                <w:rFonts w:ascii="Times New Roman" w:hAnsi="Times New Roman"/>
                <w:color w:val="000000" w:themeColor="text1"/>
                <w:spacing w:val="-1"/>
                <w:lang w:eastAsia="uk-UA"/>
              </w:rPr>
              <w:t>септи</w:t>
            </w:r>
            <w:proofErr w:type="spellEnd"/>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Чистка та обслуговування інжектора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Чистка детектора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Чистка ізолюючих шайб, перевірка стану сопла детектора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Чистка та обслуговування системи нагріву та охолодження термостату</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Перевірка герметичності аналітичних ліній каналів подачі газу-носія, </w:t>
            </w:r>
            <w:proofErr w:type="spellStart"/>
            <w:r w:rsidRPr="007E7C25">
              <w:rPr>
                <w:rFonts w:ascii="Times New Roman" w:hAnsi="Times New Roman"/>
                <w:color w:val="000000" w:themeColor="text1"/>
                <w:spacing w:val="-1"/>
                <w:lang w:eastAsia="uk-UA"/>
              </w:rPr>
              <w:t>обдувки</w:t>
            </w:r>
            <w:proofErr w:type="spellEnd"/>
            <w:r w:rsidRPr="007E7C25">
              <w:rPr>
                <w:rFonts w:ascii="Times New Roman" w:hAnsi="Times New Roman"/>
                <w:color w:val="000000" w:themeColor="text1"/>
                <w:spacing w:val="-1"/>
                <w:lang w:eastAsia="uk-UA"/>
              </w:rPr>
              <w:t xml:space="preserve"> </w:t>
            </w:r>
            <w:proofErr w:type="spellStart"/>
            <w:r w:rsidRPr="007E7C25">
              <w:rPr>
                <w:rFonts w:ascii="Times New Roman" w:hAnsi="Times New Roman"/>
                <w:color w:val="000000" w:themeColor="text1"/>
                <w:spacing w:val="-1"/>
                <w:lang w:eastAsia="uk-UA"/>
              </w:rPr>
              <w:t>септи</w:t>
            </w:r>
            <w:proofErr w:type="spellEnd"/>
            <w:r w:rsidRPr="007E7C25">
              <w:rPr>
                <w:rFonts w:ascii="Times New Roman" w:hAnsi="Times New Roman"/>
                <w:color w:val="000000" w:themeColor="text1"/>
                <w:spacing w:val="-1"/>
                <w:lang w:eastAsia="uk-UA"/>
              </w:rPr>
              <w:t xml:space="preserve"> та каналу скидання потоку ділення</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Перевірка робочих параметрів фільтрів в каналах подачі газу-носія, </w:t>
            </w:r>
            <w:proofErr w:type="spellStart"/>
            <w:r w:rsidRPr="007E7C25">
              <w:rPr>
                <w:rFonts w:ascii="Times New Roman" w:hAnsi="Times New Roman"/>
                <w:color w:val="000000" w:themeColor="text1"/>
                <w:spacing w:val="-1"/>
                <w:lang w:eastAsia="uk-UA"/>
              </w:rPr>
              <w:t>обдувки</w:t>
            </w:r>
            <w:proofErr w:type="spellEnd"/>
            <w:r w:rsidRPr="007E7C25">
              <w:rPr>
                <w:rFonts w:ascii="Times New Roman" w:hAnsi="Times New Roman"/>
                <w:color w:val="000000" w:themeColor="text1"/>
                <w:spacing w:val="-1"/>
                <w:lang w:eastAsia="uk-UA"/>
              </w:rPr>
              <w:t xml:space="preserve"> </w:t>
            </w:r>
            <w:proofErr w:type="spellStart"/>
            <w:r w:rsidRPr="007E7C25">
              <w:rPr>
                <w:rFonts w:ascii="Times New Roman" w:hAnsi="Times New Roman"/>
                <w:color w:val="000000" w:themeColor="text1"/>
                <w:spacing w:val="-1"/>
                <w:lang w:eastAsia="uk-UA"/>
              </w:rPr>
              <w:t>септи</w:t>
            </w:r>
            <w:proofErr w:type="spellEnd"/>
            <w:r w:rsidRPr="007E7C25">
              <w:rPr>
                <w:rFonts w:ascii="Times New Roman" w:hAnsi="Times New Roman"/>
                <w:color w:val="000000" w:themeColor="text1"/>
                <w:spacing w:val="-1"/>
                <w:lang w:eastAsia="uk-UA"/>
              </w:rPr>
              <w:t xml:space="preserve"> та каналу скидання потоку ділення</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температурних режимів, параметрів інжектора (за потоками та тиском)</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температурних режимів, чутливості, параметру шуму детектора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температурних режимів термостату</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Заміна фільтрів очистки газів</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Кондиціонування приладу</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Обслуговування компресора стисненого повітря</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Обслуговування генератора водню</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Тестування метрологічних характеристик приладу на відповідність технічній специфікації виробника.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0"/>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b/>
                <w:color w:val="000000" w:themeColor="text1"/>
                <w:spacing w:val="-1"/>
                <w:lang w:eastAsia="uk-UA"/>
              </w:rPr>
            </w:pPr>
            <w:r w:rsidRPr="007E7C25">
              <w:rPr>
                <w:rFonts w:ascii="Times New Roman" w:hAnsi="Times New Roman"/>
                <w:b/>
                <w:color w:val="000000" w:themeColor="text1"/>
                <w:spacing w:val="-1"/>
                <w:lang w:eastAsia="uk-UA"/>
              </w:rPr>
              <w:t xml:space="preserve">Технічне обслуговування газового хроматографа </w:t>
            </w:r>
            <w:proofErr w:type="spellStart"/>
            <w:r w:rsidRPr="007E7C25">
              <w:rPr>
                <w:rFonts w:ascii="Times New Roman" w:hAnsi="Times New Roman"/>
                <w:b/>
                <w:color w:val="000000" w:themeColor="text1"/>
                <w:spacing w:val="-1"/>
              </w:rPr>
              <w:t>Agilent</w:t>
            </w:r>
            <w:proofErr w:type="spellEnd"/>
            <w:r w:rsidRPr="007E7C25">
              <w:rPr>
                <w:rFonts w:ascii="Times New Roman" w:hAnsi="Times New Roman"/>
                <w:b/>
                <w:color w:val="000000" w:themeColor="text1"/>
                <w:spacing w:val="-1"/>
              </w:rPr>
              <w:t xml:space="preserve"> 7890B з мас-селективним детектором 5977B </w:t>
            </w: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b/>
                <w:bCs/>
                <w:color w:val="000000" w:themeColor="text1"/>
              </w:rPr>
              <w:t>1 шт.</w:t>
            </w:r>
          </w:p>
        </w:tc>
        <w:tc>
          <w:tcPr>
            <w:tcW w:w="2835" w:type="dxa"/>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Обслуговування </w:t>
            </w:r>
            <w:proofErr w:type="spellStart"/>
            <w:r w:rsidRPr="007E7C25">
              <w:rPr>
                <w:rFonts w:ascii="Times New Roman" w:hAnsi="Times New Roman"/>
                <w:color w:val="000000" w:themeColor="text1"/>
                <w:spacing w:val="-1"/>
                <w:lang w:eastAsia="uk-UA"/>
              </w:rPr>
              <w:t>автосамплеру</w:t>
            </w:r>
            <w:proofErr w:type="spellEnd"/>
            <w:r w:rsidRPr="007E7C25">
              <w:rPr>
                <w:rFonts w:ascii="Times New Roman" w:hAnsi="Times New Roman"/>
                <w:color w:val="000000" w:themeColor="text1"/>
                <w:spacing w:val="-1"/>
                <w:lang w:eastAsia="uk-UA"/>
              </w:rPr>
              <w:t xml:space="preserve">, заміна дозуючого пристрою </w:t>
            </w:r>
            <w:proofErr w:type="spellStart"/>
            <w:r w:rsidRPr="007E7C25">
              <w:rPr>
                <w:rFonts w:ascii="Times New Roman" w:hAnsi="Times New Roman"/>
                <w:color w:val="000000" w:themeColor="text1"/>
                <w:spacing w:val="-1"/>
                <w:lang w:eastAsia="uk-UA"/>
              </w:rPr>
              <w:t>автосамплеру</w:t>
            </w:r>
            <w:proofErr w:type="spellEnd"/>
            <w:r w:rsidRPr="007E7C25">
              <w:rPr>
                <w:rFonts w:ascii="Times New Roman" w:hAnsi="Times New Roman"/>
                <w:color w:val="000000" w:themeColor="text1"/>
                <w:spacing w:val="-1"/>
                <w:lang w:eastAsia="uk-UA"/>
              </w:rPr>
              <w:t xml:space="preserve"> в разі необхідності</w:t>
            </w:r>
          </w:p>
        </w:tc>
        <w:tc>
          <w:tcPr>
            <w:tcW w:w="2835" w:type="dxa"/>
            <w:vMerge w:val="restart"/>
          </w:tcPr>
          <w:p w:rsidR="007E7C25" w:rsidRPr="007E7C25" w:rsidRDefault="007E7C25" w:rsidP="00854FEC">
            <w:pPr>
              <w:spacing w:line="240" w:lineRule="auto"/>
              <w:ind w:left="-35"/>
              <w:contextualSpacing/>
              <w:jc w:val="center"/>
              <w:rPr>
                <w:rFonts w:ascii="Times New Roman" w:hAnsi="Times New Roman"/>
                <w:bCs/>
                <w:color w:val="000000" w:themeColor="text1"/>
              </w:rPr>
            </w:pPr>
            <w:r w:rsidRPr="007E7C25">
              <w:rPr>
                <w:rFonts w:ascii="Times New Roman" w:hAnsi="Times New Roman"/>
                <w:bCs/>
                <w:color w:val="000000" w:themeColor="text1"/>
              </w:rPr>
              <w:t xml:space="preserve">Для забезпечення справного технічного стану обладнання, відновлення характеристик до заявлених виробником параметрів, виявлення та усунення негативних факторів, що впливають на результати вимірювань, підтримки задовільного технічного стану з метою подовженого строку експлуатації обладнання, його частин та механізмів.  </w:t>
            </w:r>
          </w:p>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Поновлення змащувальних матеріалів рухомих вузлів </w:t>
            </w:r>
            <w:proofErr w:type="spellStart"/>
            <w:r w:rsidRPr="007E7C25">
              <w:rPr>
                <w:rFonts w:ascii="Times New Roman" w:hAnsi="Times New Roman"/>
                <w:color w:val="000000" w:themeColor="text1"/>
                <w:spacing w:val="-1"/>
                <w:lang w:eastAsia="uk-UA"/>
              </w:rPr>
              <w:t>автосамплеру</w:t>
            </w:r>
            <w:proofErr w:type="spellEnd"/>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Чистка та обслуговування інжектора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Чистка та обслуговування системи нагріву та охолодження термостату</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Заміна лайнера та його ущільнюючого кільця</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Заміна </w:t>
            </w:r>
            <w:proofErr w:type="spellStart"/>
            <w:r w:rsidRPr="007E7C25">
              <w:rPr>
                <w:rFonts w:ascii="Times New Roman" w:hAnsi="Times New Roman"/>
                <w:color w:val="000000" w:themeColor="text1"/>
                <w:spacing w:val="-1"/>
                <w:lang w:eastAsia="uk-UA"/>
              </w:rPr>
              <w:t>септи</w:t>
            </w:r>
            <w:proofErr w:type="spellEnd"/>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Перевірка герметичності аналітичних ліній каналів подачі газу-носія, </w:t>
            </w:r>
            <w:proofErr w:type="spellStart"/>
            <w:r w:rsidRPr="007E7C25">
              <w:rPr>
                <w:rFonts w:ascii="Times New Roman" w:hAnsi="Times New Roman"/>
                <w:color w:val="000000" w:themeColor="text1"/>
                <w:spacing w:val="-1"/>
                <w:lang w:eastAsia="uk-UA"/>
              </w:rPr>
              <w:t>обдувки</w:t>
            </w:r>
            <w:proofErr w:type="spellEnd"/>
            <w:r w:rsidRPr="007E7C25">
              <w:rPr>
                <w:rFonts w:ascii="Times New Roman" w:hAnsi="Times New Roman"/>
                <w:color w:val="000000" w:themeColor="text1"/>
                <w:spacing w:val="-1"/>
                <w:lang w:eastAsia="uk-UA"/>
              </w:rPr>
              <w:t xml:space="preserve"> </w:t>
            </w:r>
            <w:proofErr w:type="spellStart"/>
            <w:r w:rsidRPr="007E7C25">
              <w:rPr>
                <w:rFonts w:ascii="Times New Roman" w:hAnsi="Times New Roman"/>
                <w:color w:val="000000" w:themeColor="text1"/>
                <w:spacing w:val="-1"/>
                <w:lang w:eastAsia="uk-UA"/>
              </w:rPr>
              <w:t>септи</w:t>
            </w:r>
            <w:proofErr w:type="spellEnd"/>
            <w:r w:rsidRPr="007E7C25">
              <w:rPr>
                <w:rFonts w:ascii="Times New Roman" w:hAnsi="Times New Roman"/>
                <w:color w:val="000000" w:themeColor="text1"/>
                <w:spacing w:val="-1"/>
                <w:lang w:eastAsia="uk-UA"/>
              </w:rPr>
              <w:t xml:space="preserve"> та каналу скидання потоку ділення</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Перевірка робочих параметрів фільтрів в каналах подачі газу-носія, </w:t>
            </w:r>
            <w:proofErr w:type="spellStart"/>
            <w:r w:rsidRPr="007E7C25">
              <w:rPr>
                <w:rFonts w:ascii="Times New Roman" w:hAnsi="Times New Roman"/>
                <w:color w:val="000000" w:themeColor="text1"/>
                <w:spacing w:val="-1"/>
                <w:lang w:eastAsia="uk-UA"/>
              </w:rPr>
              <w:t>обдувки</w:t>
            </w:r>
            <w:proofErr w:type="spellEnd"/>
            <w:r w:rsidRPr="007E7C25">
              <w:rPr>
                <w:rFonts w:ascii="Times New Roman" w:hAnsi="Times New Roman"/>
                <w:color w:val="000000" w:themeColor="text1"/>
                <w:spacing w:val="-1"/>
                <w:lang w:eastAsia="uk-UA"/>
              </w:rPr>
              <w:t xml:space="preserve"> </w:t>
            </w:r>
            <w:proofErr w:type="spellStart"/>
            <w:r w:rsidRPr="007E7C25">
              <w:rPr>
                <w:rFonts w:ascii="Times New Roman" w:hAnsi="Times New Roman"/>
                <w:color w:val="000000" w:themeColor="text1"/>
                <w:spacing w:val="-1"/>
                <w:lang w:eastAsia="uk-UA"/>
              </w:rPr>
              <w:t>септи</w:t>
            </w:r>
            <w:proofErr w:type="spellEnd"/>
            <w:r w:rsidRPr="007E7C25">
              <w:rPr>
                <w:rFonts w:ascii="Times New Roman" w:hAnsi="Times New Roman"/>
                <w:color w:val="000000" w:themeColor="text1"/>
                <w:spacing w:val="-1"/>
                <w:lang w:eastAsia="uk-UA"/>
              </w:rPr>
              <w:t xml:space="preserve"> та каналу скидання потоку ділення</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температурних режимів, параметрів інжектора (за потоками та тиском)</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температурних режимів, чутливості, параметру шуму детектора</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стану детектора (</w:t>
            </w:r>
            <w:proofErr w:type="spellStart"/>
            <w:r w:rsidRPr="007E7C25">
              <w:rPr>
                <w:rFonts w:ascii="Times New Roman" w:hAnsi="Times New Roman"/>
                <w:color w:val="000000" w:themeColor="text1"/>
                <w:spacing w:val="-1"/>
                <w:lang w:eastAsia="uk-UA"/>
              </w:rPr>
              <w:t>філаментів</w:t>
            </w:r>
            <w:proofErr w:type="spellEnd"/>
            <w:r w:rsidRPr="007E7C25">
              <w:rPr>
                <w:rFonts w:ascii="Times New Roman" w:hAnsi="Times New Roman"/>
                <w:color w:val="000000" w:themeColor="text1"/>
                <w:spacing w:val="-1"/>
                <w:lang w:eastAsia="uk-UA"/>
              </w:rPr>
              <w:t xml:space="preserve">, камери іонізації) та їх очистка, заміна </w:t>
            </w:r>
            <w:proofErr w:type="spellStart"/>
            <w:r w:rsidRPr="007E7C25">
              <w:rPr>
                <w:rFonts w:ascii="Times New Roman" w:hAnsi="Times New Roman"/>
                <w:color w:val="000000" w:themeColor="text1"/>
                <w:spacing w:val="-1"/>
                <w:lang w:eastAsia="uk-UA"/>
              </w:rPr>
              <w:t>філаментів</w:t>
            </w:r>
            <w:proofErr w:type="spellEnd"/>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робочих параметрів вакууму та тестування на герметичність</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температурних режимів</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Кондиціонування приладу</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Заміна фільтрів очистки газів</w:t>
            </w:r>
          </w:p>
        </w:tc>
        <w:tc>
          <w:tcPr>
            <w:tcW w:w="2835" w:type="dxa"/>
            <w:vMerge/>
          </w:tcPr>
          <w:p w:rsidR="007E7C25" w:rsidRPr="007E7C25" w:rsidRDefault="007E7C25" w:rsidP="00854FEC">
            <w:pPr>
              <w:spacing w:line="240" w:lineRule="auto"/>
              <w:ind w:left="-35"/>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Тестування метрологічних характеристик приладу на відповідність технічній специфікації виробника.</w:t>
            </w:r>
          </w:p>
        </w:tc>
        <w:tc>
          <w:tcPr>
            <w:tcW w:w="2835" w:type="dxa"/>
            <w:vMerge/>
          </w:tcPr>
          <w:p w:rsidR="007E7C25" w:rsidRPr="007E7C25" w:rsidRDefault="007E7C25" w:rsidP="00854FEC">
            <w:pPr>
              <w:spacing w:line="240" w:lineRule="auto"/>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0"/>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r w:rsidRPr="007E7C25">
              <w:rPr>
                <w:rFonts w:ascii="Times New Roman" w:hAnsi="Times New Roman"/>
                <w:b/>
                <w:color w:val="000000" w:themeColor="text1"/>
                <w:spacing w:val="-1"/>
                <w:lang w:eastAsia="uk-UA"/>
              </w:rPr>
              <w:t xml:space="preserve">Технічне обслуговування газового хроматографа </w:t>
            </w:r>
            <w:proofErr w:type="spellStart"/>
            <w:r w:rsidRPr="007E7C25">
              <w:rPr>
                <w:rFonts w:ascii="Times New Roman" w:hAnsi="Times New Roman"/>
                <w:b/>
                <w:color w:val="000000" w:themeColor="text1"/>
                <w:spacing w:val="-1"/>
              </w:rPr>
              <w:t>Shimadzu</w:t>
            </w:r>
            <w:proofErr w:type="spellEnd"/>
            <w:r w:rsidRPr="007E7C25">
              <w:rPr>
                <w:rFonts w:ascii="Times New Roman" w:hAnsi="Times New Roman"/>
                <w:b/>
                <w:color w:val="000000" w:themeColor="text1"/>
                <w:spacing w:val="-1"/>
              </w:rPr>
              <w:t xml:space="preserve"> GC 2010 </w:t>
            </w:r>
            <w:proofErr w:type="spellStart"/>
            <w:r w:rsidRPr="007E7C25">
              <w:rPr>
                <w:rFonts w:ascii="Times New Roman" w:hAnsi="Times New Roman"/>
                <w:b/>
                <w:color w:val="000000" w:themeColor="text1"/>
                <w:spacing w:val="-1"/>
              </w:rPr>
              <w:t>Plus</w:t>
            </w:r>
            <w:proofErr w:type="spellEnd"/>
            <w:r w:rsidRPr="007E7C25">
              <w:rPr>
                <w:rFonts w:ascii="Times New Roman" w:hAnsi="Times New Roman"/>
                <w:b/>
                <w:color w:val="000000" w:themeColor="text1"/>
                <w:spacing w:val="-1"/>
              </w:rPr>
              <w:t xml:space="preserve"> з мас-селективним детектором GCMS QP2020 </w:t>
            </w: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b/>
                <w:bCs/>
                <w:color w:val="000000" w:themeColor="text1"/>
              </w:rPr>
              <w:t>1 шт.</w:t>
            </w:r>
          </w:p>
        </w:tc>
        <w:tc>
          <w:tcPr>
            <w:tcW w:w="2835" w:type="dxa"/>
          </w:tcPr>
          <w:p w:rsidR="007E7C25" w:rsidRPr="007E7C25" w:rsidRDefault="007E7C25" w:rsidP="00854FEC">
            <w:pPr>
              <w:spacing w:line="240" w:lineRule="auto"/>
              <w:contextualSpacing/>
              <w:jc w:val="center"/>
              <w:rPr>
                <w:rFonts w:ascii="Times New Roman" w:hAnsi="Times New Roman"/>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b/>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
                <w:bCs/>
                <w:color w:val="000000" w:themeColor="text1"/>
              </w:rPr>
            </w:pPr>
            <w:r w:rsidRPr="007E7C25">
              <w:rPr>
                <w:rFonts w:ascii="Times New Roman" w:hAnsi="Times New Roman"/>
                <w:color w:val="000000" w:themeColor="text1"/>
                <w:spacing w:val="-1"/>
                <w:lang w:eastAsia="uk-UA"/>
              </w:rPr>
              <w:t xml:space="preserve">Обслуговування </w:t>
            </w:r>
            <w:proofErr w:type="spellStart"/>
            <w:r w:rsidRPr="007E7C25">
              <w:rPr>
                <w:rFonts w:ascii="Times New Roman" w:hAnsi="Times New Roman"/>
                <w:color w:val="000000" w:themeColor="text1"/>
                <w:spacing w:val="-1"/>
                <w:lang w:eastAsia="uk-UA"/>
              </w:rPr>
              <w:t>автосамплеру</w:t>
            </w:r>
            <w:proofErr w:type="spellEnd"/>
            <w:r w:rsidRPr="007E7C25">
              <w:rPr>
                <w:rFonts w:ascii="Times New Roman" w:hAnsi="Times New Roman"/>
                <w:color w:val="000000" w:themeColor="text1"/>
                <w:spacing w:val="-1"/>
                <w:lang w:eastAsia="uk-UA"/>
              </w:rPr>
              <w:t xml:space="preserve">, заміна дозуючого пристрою </w:t>
            </w:r>
            <w:proofErr w:type="spellStart"/>
            <w:r w:rsidRPr="007E7C25">
              <w:rPr>
                <w:rFonts w:ascii="Times New Roman" w:hAnsi="Times New Roman"/>
                <w:color w:val="000000" w:themeColor="text1"/>
                <w:spacing w:val="-1"/>
                <w:lang w:eastAsia="uk-UA"/>
              </w:rPr>
              <w:t>автосамплеру</w:t>
            </w:r>
            <w:proofErr w:type="spellEnd"/>
            <w:r w:rsidRPr="007E7C25">
              <w:rPr>
                <w:rFonts w:ascii="Times New Roman" w:hAnsi="Times New Roman"/>
                <w:color w:val="000000" w:themeColor="text1"/>
                <w:spacing w:val="-1"/>
                <w:lang w:eastAsia="uk-UA"/>
              </w:rPr>
              <w:t xml:space="preserve"> в разі необхідності</w:t>
            </w:r>
          </w:p>
        </w:tc>
        <w:tc>
          <w:tcPr>
            <w:tcW w:w="2835" w:type="dxa"/>
            <w:vMerge w:val="restart"/>
          </w:tcPr>
          <w:p w:rsidR="007E7C25" w:rsidRPr="007E7C25" w:rsidRDefault="007E7C25" w:rsidP="00854FEC">
            <w:pPr>
              <w:spacing w:line="240" w:lineRule="auto"/>
              <w:ind w:left="-35"/>
              <w:contextualSpacing/>
              <w:jc w:val="center"/>
              <w:rPr>
                <w:rFonts w:ascii="Times New Roman" w:hAnsi="Times New Roman"/>
                <w:bCs/>
                <w:color w:val="000000" w:themeColor="text1"/>
              </w:rPr>
            </w:pPr>
            <w:r w:rsidRPr="007E7C25">
              <w:rPr>
                <w:rFonts w:ascii="Times New Roman" w:hAnsi="Times New Roman"/>
                <w:bCs/>
                <w:color w:val="000000" w:themeColor="text1"/>
              </w:rPr>
              <w:t xml:space="preserve">Для забезпечення справного технічного стану обладнання, відновлення характеристик до заявлених виробником параметрів, виявлення та усунення негативних факторів, що </w:t>
            </w:r>
            <w:r w:rsidRPr="007E7C25">
              <w:rPr>
                <w:rFonts w:ascii="Times New Roman" w:hAnsi="Times New Roman"/>
                <w:bCs/>
                <w:color w:val="000000" w:themeColor="text1"/>
              </w:rPr>
              <w:lastRenderedPageBreak/>
              <w:t xml:space="preserve">впливають на результати вимірювань, підтримки задовільного технічного стану з метою подовженого строку експлуатації обладнання, його частин та механізмів.  </w:t>
            </w:r>
          </w:p>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Поновлення змащувальних матеріалів рухомих вузлів </w:t>
            </w:r>
            <w:proofErr w:type="spellStart"/>
            <w:r w:rsidRPr="007E7C25">
              <w:rPr>
                <w:rFonts w:ascii="Times New Roman" w:hAnsi="Times New Roman"/>
                <w:color w:val="000000" w:themeColor="text1"/>
                <w:spacing w:val="-1"/>
                <w:lang w:eastAsia="uk-UA"/>
              </w:rPr>
              <w:t>автосамплеру</w:t>
            </w:r>
            <w:proofErr w:type="spellEnd"/>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Чистка та обслуговування інжектора</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Чистка та обслуговування системи нагріву та охолодження термостату</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Заміна лайнера та його ущільнюючого кільця</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Заміна </w:t>
            </w:r>
            <w:proofErr w:type="spellStart"/>
            <w:r w:rsidRPr="007E7C25">
              <w:rPr>
                <w:rFonts w:ascii="Times New Roman" w:hAnsi="Times New Roman"/>
                <w:color w:val="000000" w:themeColor="text1"/>
                <w:spacing w:val="-1"/>
                <w:lang w:eastAsia="uk-UA"/>
              </w:rPr>
              <w:t>септи</w:t>
            </w:r>
            <w:proofErr w:type="spellEnd"/>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робочих параметрів вакууму та тестування на герметичність</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Перевірка герметичності аналітичних ліній каналів подачі газу-носія, </w:t>
            </w:r>
            <w:proofErr w:type="spellStart"/>
            <w:r w:rsidRPr="007E7C25">
              <w:rPr>
                <w:rFonts w:ascii="Times New Roman" w:hAnsi="Times New Roman"/>
                <w:color w:val="000000" w:themeColor="text1"/>
                <w:spacing w:val="-1"/>
                <w:lang w:eastAsia="uk-UA"/>
              </w:rPr>
              <w:t>обдувки</w:t>
            </w:r>
            <w:proofErr w:type="spellEnd"/>
            <w:r w:rsidRPr="007E7C25">
              <w:rPr>
                <w:rFonts w:ascii="Times New Roman" w:hAnsi="Times New Roman"/>
                <w:color w:val="000000" w:themeColor="text1"/>
                <w:spacing w:val="-1"/>
                <w:lang w:eastAsia="uk-UA"/>
              </w:rPr>
              <w:t xml:space="preserve"> </w:t>
            </w:r>
            <w:proofErr w:type="spellStart"/>
            <w:r w:rsidRPr="007E7C25">
              <w:rPr>
                <w:rFonts w:ascii="Times New Roman" w:hAnsi="Times New Roman"/>
                <w:color w:val="000000" w:themeColor="text1"/>
                <w:spacing w:val="-1"/>
                <w:lang w:eastAsia="uk-UA"/>
              </w:rPr>
              <w:t>септи</w:t>
            </w:r>
            <w:proofErr w:type="spellEnd"/>
            <w:r w:rsidRPr="007E7C25">
              <w:rPr>
                <w:rFonts w:ascii="Times New Roman" w:hAnsi="Times New Roman"/>
                <w:color w:val="000000" w:themeColor="text1"/>
                <w:spacing w:val="-1"/>
                <w:lang w:eastAsia="uk-UA"/>
              </w:rPr>
              <w:t xml:space="preserve"> та каналу скидання потоку ділення</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 xml:space="preserve">Перевірка робочих параметрів фільтрів в каналах подачі газу-носія, </w:t>
            </w:r>
            <w:proofErr w:type="spellStart"/>
            <w:r w:rsidRPr="007E7C25">
              <w:rPr>
                <w:rFonts w:ascii="Times New Roman" w:hAnsi="Times New Roman"/>
                <w:color w:val="000000" w:themeColor="text1"/>
                <w:spacing w:val="-1"/>
                <w:lang w:eastAsia="uk-UA"/>
              </w:rPr>
              <w:t>обдувки</w:t>
            </w:r>
            <w:proofErr w:type="spellEnd"/>
            <w:r w:rsidRPr="007E7C25">
              <w:rPr>
                <w:rFonts w:ascii="Times New Roman" w:hAnsi="Times New Roman"/>
                <w:color w:val="000000" w:themeColor="text1"/>
                <w:spacing w:val="-1"/>
                <w:lang w:eastAsia="uk-UA"/>
              </w:rPr>
              <w:t xml:space="preserve"> </w:t>
            </w:r>
            <w:proofErr w:type="spellStart"/>
            <w:r w:rsidRPr="007E7C25">
              <w:rPr>
                <w:rFonts w:ascii="Times New Roman" w:hAnsi="Times New Roman"/>
                <w:color w:val="000000" w:themeColor="text1"/>
                <w:spacing w:val="-1"/>
                <w:lang w:eastAsia="uk-UA"/>
              </w:rPr>
              <w:t>септи</w:t>
            </w:r>
            <w:proofErr w:type="spellEnd"/>
            <w:r w:rsidRPr="007E7C25">
              <w:rPr>
                <w:rFonts w:ascii="Times New Roman" w:hAnsi="Times New Roman"/>
                <w:color w:val="000000" w:themeColor="text1"/>
                <w:spacing w:val="-1"/>
                <w:lang w:eastAsia="uk-UA"/>
              </w:rPr>
              <w:t xml:space="preserve"> та каналу скидання потоку ділення</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температурних режимів, параметрів інжектора (за потоками та тиском)</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стану детектора (</w:t>
            </w:r>
            <w:proofErr w:type="spellStart"/>
            <w:r w:rsidRPr="007E7C25">
              <w:rPr>
                <w:rFonts w:ascii="Times New Roman" w:hAnsi="Times New Roman"/>
                <w:color w:val="000000" w:themeColor="text1"/>
                <w:spacing w:val="-1"/>
                <w:lang w:eastAsia="uk-UA"/>
              </w:rPr>
              <w:t>філаментів</w:t>
            </w:r>
            <w:proofErr w:type="spellEnd"/>
            <w:r w:rsidRPr="007E7C25">
              <w:rPr>
                <w:rFonts w:ascii="Times New Roman" w:hAnsi="Times New Roman"/>
                <w:color w:val="000000" w:themeColor="text1"/>
                <w:spacing w:val="-1"/>
                <w:lang w:eastAsia="uk-UA"/>
              </w:rPr>
              <w:t xml:space="preserve">, камери іонізації) та їх очистка, заміна </w:t>
            </w:r>
            <w:proofErr w:type="spellStart"/>
            <w:r w:rsidRPr="007E7C25">
              <w:rPr>
                <w:rFonts w:ascii="Times New Roman" w:hAnsi="Times New Roman"/>
                <w:color w:val="000000" w:themeColor="text1"/>
                <w:spacing w:val="-1"/>
                <w:lang w:eastAsia="uk-UA"/>
              </w:rPr>
              <w:t>філаментів</w:t>
            </w:r>
            <w:proofErr w:type="spellEnd"/>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температурних режимів, чутливості, параметру шуму детектора</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Перевірка температурних режимів</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Кондиціонування приладу</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Заміна фільтрів очистки газів</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bCs/>
                <w:color w:val="000000" w:themeColor="text1"/>
              </w:rPr>
            </w:pPr>
            <w:r w:rsidRPr="007E7C25">
              <w:rPr>
                <w:rFonts w:ascii="Times New Roman" w:hAnsi="Times New Roman"/>
                <w:color w:val="000000" w:themeColor="text1"/>
                <w:spacing w:val="-1"/>
                <w:lang w:eastAsia="uk-UA"/>
              </w:rPr>
              <w:t>Тестування метрологічних характеристик приладу на відповідність технічній специфікації виробника.</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0"/>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r w:rsidRPr="007E7C25">
              <w:rPr>
                <w:rFonts w:ascii="Times New Roman" w:hAnsi="Times New Roman"/>
                <w:b/>
                <w:color w:val="000000" w:themeColor="text1"/>
                <w:spacing w:val="-1"/>
                <w:lang w:eastAsia="uk-UA"/>
              </w:rPr>
              <w:t xml:space="preserve">Технічне обслуговування інфрачервоного Фур’є спектрометра </w:t>
            </w:r>
            <w:proofErr w:type="spellStart"/>
            <w:r w:rsidRPr="007E7C25">
              <w:rPr>
                <w:rFonts w:ascii="Times New Roman" w:hAnsi="Times New Roman"/>
                <w:b/>
                <w:color w:val="000000" w:themeColor="text1"/>
                <w:spacing w:val="-1"/>
                <w:lang w:eastAsia="uk-UA"/>
              </w:rPr>
              <w:t>Thermo</w:t>
            </w:r>
            <w:proofErr w:type="spellEnd"/>
            <w:r w:rsidRPr="007E7C25">
              <w:rPr>
                <w:rFonts w:ascii="Times New Roman" w:hAnsi="Times New Roman"/>
                <w:b/>
                <w:color w:val="000000" w:themeColor="text1"/>
                <w:spacing w:val="-1"/>
                <w:lang w:eastAsia="uk-UA"/>
              </w:rPr>
              <w:t xml:space="preserve"> </w:t>
            </w:r>
            <w:proofErr w:type="spellStart"/>
            <w:r w:rsidRPr="007E7C25">
              <w:rPr>
                <w:rFonts w:ascii="Times New Roman" w:hAnsi="Times New Roman"/>
                <w:b/>
                <w:color w:val="000000" w:themeColor="text1"/>
                <w:spacing w:val="-1"/>
                <w:lang w:eastAsia="uk-UA"/>
              </w:rPr>
              <w:t>Fisher</w:t>
            </w:r>
            <w:proofErr w:type="spellEnd"/>
            <w:r w:rsidRPr="007E7C25">
              <w:rPr>
                <w:rFonts w:ascii="Times New Roman" w:hAnsi="Times New Roman"/>
                <w:b/>
                <w:color w:val="000000" w:themeColor="text1"/>
                <w:spacing w:val="-1"/>
                <w:lang w:eastAsia="uk-UA"/>
              </w:rPr>
              <w:t xml:space="preserve"> </w:t>
            </w:r>
            <w:proofErr w:type="spellStart"/>
            <w:r w:rsidRPr="007E7C25">
              <w:rPr>
                <w:rFonts w:ascii="Times New Roman" w:hAnsi="Times New Roman"/>
                <w:b/>
                <w:color w:val="000000" w:themeColor="text1"/>
                <w:spacing w:val="-1"/>
                <w:lang w:eastAsia="uk-UA"/>
              </w:rPr>
              <w:t>Scientific</w:t>
            </w:r>
            <w:proofErr w:type="spellEnd"/>
            <w:r w:rsidRPr="007E7C25">
              <w:rPr>
                <w:rFonts w:ascii="Times New Roman" w:hAnsi="Times New Roman"/>
                <w:b/>
                <w:color w:val="000000" w:themeColor="text1"/>
                <w:spacing w:val="-1"/>
                <w:lang w:eastAsia="uk-UA"/>
              </w:rPr>
              <w:t xml:space="preserve"> </w:t>
            </w:r>
            <w:proofErr w:type="spellStart"/>
            <w:r w:rsidRPr="007E7C25">
              <w:rPr>
                <w:rFonts w:ascii="Times New Roman" w:hAnsi="Times New Roman"/>
                <w:b/>
                <w:color w:val="000000" w:themeColor="text1"/>
                <w:spacing w:val="-1"/>
                <w:lang w:eastAsia="uk-UA"/>
              </w:rPr>
              <w:t>Nicolet</w:t>
            </w:r>
            <w:proofErr w:type="spellEnd"/>
            <w:r w:rsidRPr="007E7C25">
              <w:rPr>
                <w:rFonts w:ascii="Times New Roman" w:hAnsi="Times New Roman"/>
                <w:b/>
                <w:color w:val="000000" w:themeColor="text1"/>
                <w:spacing w:val="-1"/>
                <w:lang w:eastAsia="uk-UA"/>
              </w:rPr>
              <w:t xml:space="preserve"> iS50 </w:t>
            </w:r>
          </w:p>
        </w:tc>
        <w:tc>
          <w:tcPr>
            <w:tcW w:w="3686" w:type="dxa"/>
          </w:tcPr>
          <w:p w:rsidR="007E7C25" w:rsidRPr="007E7C25" w:rsidRDefault="007E7C25" w:rsidP="00854FEC">
            <w:pPr>
              <w:spacing w:line="240" w:lineRule="auto"/>
              <w:contextualSpacing/>
              <w:jc w:val="center"/>
              <w:rPr>
                <w:rFonts w:ascii="Times New Roman" w:hAnsi="Times New Roman"/>
                <w:color w:val="000000" w:themeColor="text1"/>
                <w:spacing w:val="-1"/>
                <w:lang w:eastAsia="uk-UA"/>
              </w:rPr>
            </w:pPr>
            <w:r w:rsidRPr="007E7C25">
              <w:rPr>
                <w:rFonts w:ascii="Times New Roman" w:hAnsi="Times New Roman"/>
                <w:b/>
                <w:bCs/>
                <w:color w:val="000000" w:themeColor="text1"/>
                <w:spacing w:val="-1"/>
                <w:lang w:eastAsia="uk-UA"/>
              </w:rPr>
              <w:t>1 шт.</w:t>
            </w:r>
          </w:p>
        </w:tc>
        <w:tc>
          <w:tcPr>
            <w:tcW w:w="2835" w:type="dxa"/>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color w:val="000000" w:themeColor="text1"/>
                <w:spacing w:val="-1"/>
                <w:lang w:eastAsia="uk-UA"/>
              </w:rPr>
            </w:pPr>
            <w:r w:rsidRPr="007E7C25">
              <w:rPr>
                <w:rFonts w:ascii="Times New Roman" w:hAnsi="Times New Roman"/>
                <w:color w:val="000000" w:themeColor="text1"/>
                <w:spacing w:val="-1"/>
                <w:lang w:val="ru-RU" w:eastAsia="uk-UA"/>
              </w:rPr>
              <w:t xml:space="preserve"> </w:t>
            </w:r>
            <w:r w:rsidRPr="007E7C25">
              <w:rPr>
                <w:rFonts w:ascii="Times New Roman" w:hAnsi="Times New Roman"/>
                <w:color w:val="000000" w:themeColor="text1"/>
                <w:spacing w:val="-1"/>
                <w:lang w:eastAsia="uk-UA"/>
              </w:rPr>
              <w:t>Обслуговування та змащування рухомих частин приладу</w:t>
            </w:r>
          </w:p>
        </w:tc>
        <w:tc>
          <w:tcPr>
            <w:tcW w:w="2835" w:type="dxa"/>
            <w:vMerge w:val="restart"/>
          </w:tcPr>
          <w:p w:rsidR="007E7C25" w:rsidRPr="007E7C25" w:rsidRDefault="007E7C25" w:rsidP="00854FEC">
            <w:pPr>
              <w:spacing w:line="240" w:lineRule="auto"/>
              <w:ind w:left="-35"/>
              <w:contextualSpacing/>
              <w:jc w:val="center"/>
              <w:rPr>
                <w:rFonts w:ascii="Times New Roman" w:hAnsi="Times New Roman"/>
                <w:b/>
                <w:bCs/>
                <w:color w:val="000000" w:themeColor="text1"/>
              </w:rPr>
            </w:pPr>
            <w:r w:rsidRPr="007E7C25">
              <w:rPr>
                <w:rFonts w:ascii="Times New Roman" w:hAnsi="Times New Roman"/>
                <w:bCs/>
                <w:color w:val="000000" w:themeColor="text1"/>
              </w:rPr>
              <w:t xml:space="preserve">Для забезпечення справного технічного стану обладнання, відновлення характеристик до заявлених виробником параметрів, виявлення та усунення негативних факторів, що впливають на результати вимірювань, підтримки задовільного технічного стану з метою подовженого строку експлуатації обладнання, його частин та механізмів.  </w:t>
            </w: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color w:val="000000" w:themeColor="text1"/>
                <w:spacing w:val="-1"/>
                <w:lang w:eastAsia="uk-UA"/>
              </w:rPr>
            </w:pPr>
            <w:r w:rsidRPr="007E7C25">
              <w:rPr>
                <w:rFonts w:ascii="Times New Roman" w:hAnsi="Times New Roman"/>
                <w:color w:val="000000" w:themeColor="text1"/>
                <w:spacing w:val="-1"/>
                <w:lang w:eastAsia="uk-UA"/>
              </w:rPr>
              <w:t xml:space="preserve">Заміна </w:t>
            </w:r>
            <w:proofErr w:type="spellStart"/>
            <w:r w:rsidRPr="007E7C25">
              <w:rPr>
                <w:rFonts w:ascii="Times New Roman" w:hAnsi="Times New Roman"/>
                <w:color w:val="000000" w:themeColor="text1"/>
                <w:spacing w:val="-1"/>
                <w:lang w:eastAsia="uk-UA"/>
              </w:rPr>
              <w:t>прижимної</w:t>
            </w:r>
            <w:proofErr w:type="spellEnd"/>
            <w:r w:rsidRPr="007E7C25">
              <w:rPr>
                <w:rFonts w:ascii="Times New Roman" w:hAnsi="Times New Roman"/>
                <w:color w:val="000000" w:themeColor="text1"/>
                <w:spacing w:val="-1"/>
                <w:lang w:eastAsia="uk-UA"/>
              </w:rPr>
              <w:t xml:space="preserve"> вежі приставки порушеного повного внутрішнього відображення</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color w:val="000000" w:themeColor="text1"/>
                <w:spacing w:val="-1"/>
                <w:lang w:eastAsia="uk-UA"/>
              </w:rPr>
            </w:pPr>
            <w:r w:rsidRPr="007E7C25">
              <w:rPr>
                <w:rFonts w:ascii="Times New Roman" w:hAnsi="Times New Roman"/>
                <w:color w:val="000000" w:themeColor="text1"/>
                <w:spacing w:val="-1"/>
                <w:lang w:eastAsia="uk-UA"/>
              </w:rPr>
              <w:t>Заміна осушувача спектрометра</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color w:val="000000" w:themeColor="text1"/>
                <w:spacing w:val="-1"/>
                <w:lang w:eastAsia="uk-UA"/>
              </w:rPr>
            </w:pPr>
            <w:r w:rsidRPr="007E7C25">
              <w:rPr>
                <w:rFonts w:ascii="Times New Roman" w:hAnsi="Times New Roman"/>
                <w:color w:val="000000" w:themeColor="text1"/>
                <w:spacing w:val="-1"/>
                <w:lang w:eastAsia="uk-UA"/>
              </w:rPr>
              <w:t>Обслуговування оптичної системи спектрометра</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color w:val="000000" w:themeColor="text1"/>
                <w:spacing w:val="-1"/>
                <w:lang w:eastAsia="uk-UA"/>
              </w:rPr>
            </w:pPr>
            <w:r w:rsidRPr="007E7C25">
              <w:rPr>
                <w:rFonts w:ascii="Times New Roman" w:hAnsi="Times New Roman"/>
                <w:color w:val="000000" w:themeColor="text1"/>
                <w:spacing w:val="-1"/>
                <w:lang w:eastAsia="uk-UA"/>
              </w:rPr>
              <w:t>Налаштування роботи спектрометра</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r w:rsidR="007E7C25" w:rsidRPr="007E7C25" w:rsidTr="007E7C25">
        <w:trPr>
          <w:trHeight w:val="340"/>
        </w:trPr>
        <w:tc>
          <w:tcPr>
            <w:tcW w:w="562" w:type="dxa"/>
          </w:tcPr>
          <w:p w:rsidR="007E7C25" w:rsidRPr="007E7C25" w:rsidRDefault="007E7C25" w:rsidP="007E7C25">
            <w:pPr>
              <w:pStyle w:val="ad"/>
              <w:numPr>
                <w:ilvl w:val="1"/>
                <w:numId w:val="19"/>
              </w:numPr>
              <w:jc w:val="center"/>
              <w:rPr>
                <w:bCs/>
                <w:color w:val="000000" w:themeColor="text1"/>
                <w:sz w:val="22"/>
                <w:szCs w:val="22"/>
                <w:lang w:val="uk-UA"/>
              </w:rPr>
            </w:pPr>
          </w:p>
        </w:tc>
        <w:tc>
          <w:tcPr>
            <w:tcW w:w="2977" w:type="dxa"/>
          </w:tcPr>
          <w:p w:rsidR="007E7C25" w:rsidRPr="007E7C25" w:rsidRDefault="007E7C25" w:rsidP="00854FEC">
            <w:pPr>
              <w:spacing w:line="240" w:lineRule="auto"/>
              <w:contextualSpacing/>
              <w:rPr>
                <w:rFonts w:ascii="Times New Roman" w:hAnsi="Times New Roman"/>
                <w:color w:val="000000" w:themeColor="text1"/>
                <w:spacing w:val="-1"/>
                <w:lang w:eastAsia="uk-UA"/>
              </w:rPr>
            </w:pPr>
          </w:p>
        </w:tc>
        <w:tc>
          <w:tcPr>
            <w:tcW w:w="3686" w:type="dxa"/>
          </w:tcPr>
          <w:p w:rsidR="007E7C25" w:rsidRPr="007E7C25" w:rsidRDefault="007E7C25" w:rsidP="00854FEC">
            <w:pPr>
              <w:spacing w:line="240" w:lineRule="auto"/>
              <w:contextualSpacing/>
              <w:jc w:val="center"/>
              <w:rPr>
                <w:rFonts w:ascii="Times New Roman" w:hAnsi="Times New Roman"/>
                <w:color w:val="000000" w:themeColor="text1"/>
                <w:spacing w:val="-1"/>
                <w:lang w:eastAsia="uk-UA"/>
              </w:rPr>
            </w:pPr>
            <w:r w:rsidRPr="007E7C25">
              <w:rPr>
                <w:rFonts w:ascii="Times New Roman" w:hAnsi="Times New Roman"/>
                <w:color w:val="000000" w:themeColor="text1"/>
                <w:spacing w:val="-1"/>
                <w:lang w:eastAsia="uk-UA"/>
              </w:rPr>
              <w:t>Перевірка відтворюваності результатів вимірювання</w:t>
            </w:r>
          </w:p>
        </w:tc>
        <w:tc>
          <w:tcPr>
            <w:tcW w:w="2835" w:type="dxa"/>
            <w:vMerge/>
          </w:tcPr>
          <w:p w:rsidR="007E7C25" w:rsidRPr="007E7C25" w:rsidRDefault="007E7C25" w:rsidP="00854FEC">
            <w:pPr>
              <w:spacing w:line="240" w:lineRule="auto"/>
              <w:contextualSpacing/>
              <w:jc w:val="center"/>
              <w:rPr>
                <w:rFonts w:ascii="Times New Roman" w:hAnsi="Times New Roman"/>
                <w:b/>
                <w:bCs/>
                <w:color w:val="000000" w:themeColor="text1"/>
              </w:rPr>
            </w:pPr>
          </w:p>
        </w:tc>
      </w:tr>
    </w:tbl>
    <w:p w:rsidR="00641C64" w:rsidRPr="00641C64" w:rsidRDefault="00641C64" w:rsidP="00F15908">
      <w:pPr>
        <w:widowControl w:val="0"/>
        <w:spacing w:after="0" w:line="240" w:lineRule="auto"/>
        <w:jc w:val="both"/>
        <w:rPr>
          <w:rFonts w:ascii="Times New Roman" w:eastAsia="Calibri" w:hAnsi="Times New Roman" w:cs="Times New Roman"/>
          <w:sz w:val="24"/>
        </w:rPr>
      </w:pPr>
    </w:p>
    <w:p w:rsidR="00F15908" w:rsidRPr="00641C64" w:rsidRDefault="00F15908" w:rsidP="00F15908">
      <w:pPr>
        <w:spacing w:after="0" w:line="240" w:lineRule="auto"/>
        <w:rPr>
          <w:rFonts w:ascii="Times New Roman" w:eastAsia="Times New Roman" w:hAnsi="Times New Roman" w:cs="Times New Roman"/>
          <w:sz w:val="28"/>
          <w:szCs w:val="28"/>
        </w:rPr>
      </w:pPr>
      <w:r w:rsidRPr="00641C64">
        <w:rPr>
          <w:rFonts w:ascii="Times New Roman" w:hAnsi="Times New Roman" w:cs="Times New Roman"/>
          <w:sz w:val="28"/>
          <w:szCs w:val="28"/>
        </w:rPr>
        <w:br w:type="page"/>
      </w:r>
    </w:p>
    <w:p w:rsidR="00F15908" w:rsidRPr="00641C64" w:rsidRDefault="00F15908" w:rsidP="00F15908">
      <w:pPr>
        <w:tabs>
          <w:tab w:val="center" w:pos="5103"/>
        </w:tabs>
        <w:suppressAutoHyphens/>
        <w:spacing w:after="0" w:line="240" w:lineRule="auto"/>
        <w:jc w:val="center"/>
        <w:rPr>
          <w:rFonts w:ascii="Times New Roman" w:eastAsia="Times New Roman" w:hAnsi="Times New Roman" w:cs="Times New Roman"/>
          <w:b/>
          <w:color w:val="000000"/>
          <w:sz w:val="26"/>
          <w:szCs w:val="26"/>
          <w:lang w:eastAsia="ru-RU" w:bidi="uk-UA"/>
        </w:rPr>
      </w:pPr>
      <w:r w:rsidRPr="00641C64">
        <w:rPr>
          <w:rFonts w:ascii="Times New Roman" w:eastAsia="Times New Roman" w:hAnsi="Times New Roman" w:cs="Times New Roman"/>
          <w:b/>
          <w:color w:val="000000"/>
          <w:sz w:val="26"/>
          <w:szCs w:val="26"/>
          <w:lang w:eastAsia="ru-RU" w:bidi="uk-UA"/>
        </w:rPr>
        <w:lastRenderedPageBreak/>
        <w:t>Обґрунтування</w:t>
      </w:r>
    </w:p>
    <w:p w:rsidR="00F15908" w:rsidRPr="00641C64" w:rsidRDefault="00F15908" w:rsidP="00F15908">
      <w:pPr>
        <w:widowControl w:val="0"/>
        <w:suppressAutoHyphens/>
        <w:spacing w:after="0" w:line="240" w:lineRule="auto"/>
        <w:jc w:val="center"/>
        <w:rPr>
          <w:rFonts w:ascii="Times New Roman" w:eastAsia="Times New Roman" w:hAnsi="Times New Roman" w:cs="Times New Roman"/>
          <w:b/>
          <w:color w:val="000000"/>
          <w:sz w:val="26"/>
          <w:szCs w:val="26"/>
          <w:lang w:eastAsia="ru-RU" w:bidi="uk-UA"/>
        </w:rPr>
      </w:pPr>
      <w:r w:rsidRPr="00641C64">
        <w:rPr>
          <w:rFonts w:ascii="Times New Roman" w:eastAsia="Times New Roman" w:hAnsi="Times New Roman" w:cs="Times New Roman"/>
          <w:b/>
          <w:color w:val="000000"/>
          <w:sz w:val="26"/>
          <w:szCs w:val="26"/>
          <w:lang w:eastAsia="ru-RU" w:bidi="uk-UA"/>
        </w:rPr>
        <w:t xml:space="preserve">розміру бюджетного призначення та очікуваної вартості предмета закупівлі </w:t>
      </w:r>
    </w:p>
    <w:p w:rsidR="007E7C25" w:rsidRPr="00641C64" w:rsidRDefault="007E7C25" w:rsidP="007E7C25">
      <w:pPr>
        <w:suppressAutoHyphens/>
        <w:spacing w:after="0"/>
        <w:jc w:val="center"/>
        <w:rPr>
          <w:rFonts w:ascii="Times New Roman" w:eastAsia="Calibri" w:hAnsi="Times New Roman" w:cs="Times New Roman"/>
          <w:b/>
          <w:iCs/>
          <w:sz w:val="26"/>
          <w:szCs w:val="26"/>
        </w:rPr>
      </w:pPr>
      <w:r w:rsidRPr="007E7C25">
        <w:rPr>
          <w:rFonts w:ascii="Times New Roman" w:eastAsia="Calibri" w:hAnsi="Times New Roman" w:cs="Times New Roman"/>
          <w:b/>
          <w:iCs/>
          <w:sz w:val="26"/>
          <w:szCs w:val="26"/>
        </w:rPr>
        <w:t>Код ДК 021:2015 50410000-2 Послуги з ремонту і технічного обслуговування вимірювальних, випробувальних і контрольних приладів (Послуги з технічного обслуговування лабораторного обладнання)</w:t>
      </w:r>
    </w:p>
    <w:p w:rsidR="007E7C25" w:rsidRPr="00641C64" w:rsidRDefault="007E7C25" w:rsidP="007E7C25">
      <w:pPr>
        <w:suppressAutoHyphens/>
        <w:spacing w:after="240"/>
        <w:jc w:val="center"/>
        <w:rPr>
          <w:rFonts w:ascii="Times New Roman" w:eastAsia="Calibri" w:hAnsi="Times New Roman" w:cs="Times New Roman"/>
          <w:iCs/>
          <w:sz w:val="20"/>
          <w:szCs w:val="20"/>
        </w:rPr>
      </w:pPr>
      <w:r w:rsidRPr="00641C64">
        <w:rPr>
          <w:rFonts w:ascii="Times New Roman" w:eastAsia="Calibri" w:hAnsi="Times New Roman" w:cs="Times New Roman"/>
          <w:iCs/>
          <w:sz w:val="20"/>
          <w:szCs w:val="20"/>
        </w:rPr>
        <w:t>(назва предмета закупівлі)</w:t>
      </w:r>
    </w:p>
    <w:p w:rsidR="008B7FD8" w:rsidRPr="00641C64" w:rsidRDefault="007E7C25" w:rsidP="007E7C25">
      <w:pPr>
        <w:suppressAutoHyphens/>
        <w:spacing w:after="0"/>
        <w:jc w:val="center"/>
        <w:rPr>
          <w:rFonts w:ascii="Times New Roman" w:eastAsia="Calibri" w:hAnsi="Times New Roman" w:cs="Times New Roman"/>
          <w:b/>
          <w:sz w:val="26"/>
          <w:szCs w:val="26"/>
        </w:rPr>
      </w:pPr>
      <w:r w:rsidRPr="00641C64">
        <w:rPr>
          <w:rFonts w:ascii="Times New Roman" w:eastAsia="Calibri" w:hAnsi="Times New Roman" w:cs="Times New Roman"/>
          <w:b/>
          <w:sz w:val="26"/>
          <w:szCs w:val="26"/>
        </w:rPr>
        <w:t xml:space="preserve">(номер / ідентифікатор закупівлі </w:t>
      </w:r>
      <w:r w:rsidRPr="007E7C25">
        <w:rPr>
          <w:rFonts w:ascii="Times New Roman" w:eastAsia="Calibri" w:hAnsi="Times New Roman" w:cs="Times New Roman"/>
          <w:b/>
          <w:sz w:val="26"/>
          <w:szCs w:val="26"/>
        </w:rPr>
        <w:t>UA-2025-11-21-003607-a</w:t>
      </w:r>
      <w:r w:rsidRPr="00641C64">
        <w:rPr>
          <w:rFonts w:ascii="Times New Roman" w:eastAsia="Calibri" w:hAnsi="Times New Roman" w:cs="Times New Roman"/>
          <w:b/>
          <w:sz w:val="26"/>
          <w:szCs w:val="26"/>
        </w:rPr>
        <w:t>)</w:t>
      </w:r>
    </w:p>
    <w:p w:rsidR="00F15908" w:rsidRPr="00641C64" w:rsidRDefault="00F15908" w:rsidP="00F15908">
      <w:pPr>
        <w:widowControl w:val="0"/>
        <w:suppressAutoHyphens/>
        <w:spacing w:after="0" w:line="240" w:lineRule="auto"/>
        <w:jc w:val="center"/>
        <w:rPr>
          <w:rFonts w:ascii="Times New Roman" w:eastAsia="Times New Roman" w:hAnsi="Times New Roman" w:cs="Times New Roman"/>
          <w:b/>
          <w:color w:val="000000"/>
          <w:sz w:val="26"/>
          <w:szCs w:val="26"/>
          <w:u w:val="single"/>
          <w:lang w:eastAsia="ru-RU" w:bidi="uk-UA"/>
        </w:rPr>
      </w:pPr>
    </w:p>
    <w:p w:rsidR="00F15908" w:rsidRPr="00641C64" w:rsidRDefault="007E7C25" w:rsidP="00F15908">
      <w:pPr>
        <w:widowControl w:val="0"/>
        <w:suppressAutoHyphens/>
        <w:spacing w:after="0" w:line="240" w:lineRule="auto"/>
        <w:jc w:val="center"/>
        <w:rPr>
          <w:rFonts w:ascii="Times New Roman" w:eastAsia="Times New Roman" w:hAnsi="Times New Roman" w:cs="Times New Roman"/>
          <w:b/>
          <w:color w:val="000000"/>
          <w:sz w:val="26"/>
          <w:szCs w:val="26"/>
          <w:u w:val="single"/>
          <w:lang w:eastAsia="ru-RU" w:bidi="uk-UA"/>
        </w:rPr>
      </w:pPr>
      <w:r w:rsidRPr="007E7C25">
        <w:rPr>
          <w:rFonts w:ascii="Times New Roman" w:eastAsia="Times New Roman" w:hAnsi="Times New Roman" w:cs="Times New Roman"/>
          <w:b/>
          <w:color w:val="000000"/>
          <w:sz w:val="26"/>
          <w:szCs w:val="26"/>
          <w:u w:val="single"/>
          <w:lang w:eastAsia="ru-RU" w:bidi="uk-UA"/>
        </w:rPr>
        <w:t>391 005,97</w:t>
      </w:r>
      <w:r>
        <w:rPr>
          <w:rFonts w:ascii="Times New Roman" w:eastAsia="Times New Roman" w:hAnsi="Times New Roman" w:cs="Times New Roman"/>
          <w:b/>
          <w:color w:val="000000"/>
          <w:sz w:val="26"/>
          <w:szCs w:val="26"/>
          <w:u w:val="single"/>
          <w:lang w:eastAsia="ru-RU" w:bidi="uk-UA"/>
        </w:rPr>
        <w:t xml:space="preserve"> </w:t>
      </w:r>
      <w:r w:rsidR="00F15908" w:rsidRPr="00641C64">
        <w:rPr>
          <w:rFonts w:ascii="Times New Roman" w:eastAsia="Times New Roman" w:hAnsi="Times New Roman" w:cs="Times New Roman"/>
          <w:b/>
          <w:color w:val="000000"/>
          <w:sz w:val="26"/>
          <w:szCs w:val="26"/>
          <w:u w:val="single"/>
          <w:lang w:eastAsia="ru-RU" w:bidi="uk-UA"/>
        </w:rPr>
        <w:t>грн</w:t>
      </w:r>
    </w:p>
    <w:p w:rsidR="00F15908" w:rsidRPr="00641C64" w:rsidRDefault="00F15908" w:rsidP="00F15908">
      <w:pPr>
        <w:widowControl w:val="0"/>
        <w:suppressAutoHyphens/>
        <w:spacing w:after="0" w:line="240" w:lineRule="auto"/>
        <w:jc w:val="center"/>
        <w:rPr>
          <w:rFonts w:ascii="Times New Roman" w:eastAsia="Times New Roman" w:hAnsi="Times New Roman" w:cs="Times New Roman"/>
          <w:color w:val="000000"/>
          <w:sz w:val="20"/>
          <w:szCs w:val="20"/>
          <w:lang w:eastAsia="ru-RU" w:bidi="uk-UA"/>
        </w:rPr>
      </w:pPr>
      <w:r w:rsidRPr="00641C64">
        <w:rPr>
          <w:rFonts w:ascii="Times New Roman" w:eastAsia="Times New Roman" w:hAnsi="Times New Roman" w:cs="Times New Roman"/>
          <w:color w:val="000000"/>
          <w:sz w:val="20"/>
          <w:szCs w:val="20"/>
          <w:lang w:eastAsia="ru-RU" w:bidi="uk-UA"/>
        </w:rPr>
        <w:t xml:space="preserve">(загальна очікувана вартість предмета закупівлі) </w:t>
      </w:r>
    </w:p>
    <w:p w:rsidR="00F15908" w:rsidRPr="00641C64" w:rsidRDefault="00F15908" w:rsidP="00F15908">
      <w:pPr>
        <w:widowControl w:val="0"/>
        <w:suppressAutoHyphens/>
        <w:spacing w:after="0" w:line="240" w:lineRule="auto"/>
        <w:rPr>
          <w:rFonts w:ascii="Times New Roman" w:eastAsia="Times New Roman" w:hAnsi="Times New Roman" w:cs="Times New Roman"/>
          <w:color w:val="000000"/>
          <w:sz w:val="24"/>
          <w:szCs w:val="24"/>
          <w:lang w:eastAsia="uk-UA" w:bidi="uk-UA"/>
        </w:rPr>
      </w:pPr>
    </w:p>
    <w:tbl>
      <w:tblPr>
        <w:tblW w:w="10201" w:type="dxa"/>
        <w:jc w:val="center"/>
        <w:tblLayout w:type="fixed"/>
        <w:tblCellMar>
          <w:left w:w="10" w:type="dxa"/>
          <w:right w:w="10" w:type="dxa"/>
        </w:tblCellMar>
        <w:tblLook w:val="04A0" w:firstRow="1" w:lastRow="0" w:firstColumn="1" w:lastColumn="0" w:noHBand="0" w:noVBand="1"/>
      </w:tblPr>
      <w:tblGrid>
        <w:gridCol w:w="420"/>
        <w:gridCol w:w="2126"/>
        <w:gridCol w:w="2693"/>
        <w:gridCol w:w="4962"/>
      </w:tblGrid>
      <w:tr w:rsidR="00F15908" w:rsidRPr="007E7C25" w:rsidTr="007E7C25">
        <w:trPr>
          <w:trHeight w:hRule="exact" w:val="549"/>
          <w:jc w:val="center"/>
        </w:trPr>
        <w:tc>
          <w:tcPr>
            <w:tcW w:w="420" w:type="dxa"/>
            <w:tcBorders>
              <w:top w:val="single" w:sz="4" w:space="0" w:color="auto"/>
              <w:left w:val="single" w:sz="4" w:space="0" w:color="auto"/>
              <w:bottom w:val="nil"/>
              <w:right w:val="nil"/>
            </w:tcBorders>
            <w:shd w:val="clear" w:color="auto" w:fill="FFFFFF"/>
            <w:vAlign w:val="center"/>
            <w:hideMark/>
          </w:tcPr>
          <w:p w:rsidR="00F15908" w:rsidRPr="007E7C25" w:rsidRDefault="00F15908">
            <w:pPr>
              <w:spacing w:after="0" w:line="240" w:lineRule="auto"/>
              <w:ind w:hanging="15"/>
              <w:jc w:val="center"/>
              <w:rPr>
                <w:rFonts w:ascii="Times New Roman" w:hAnsi="Times New Roman" w:cs="Times New Roman"/>
                <w:b/>
                <w:sz w:val="24"/>
                <w:szCs w:val="24"/>
              </w:rPr>
            </w:pPr>
            <w:r w:rsidRPr="007E7C25">
              <w:rPr>
                <w:rStyle w:val="2"/>
                <w:rFonts w:eastAsiaTheme="minorHAnsi"/>
                <w:b/>
                <w:sz w:val="24"/>
                <w:szCs w:val="24"/>
              </w:rPr>
              <w:t>№</w:t>
            </w:r>
          </w:p>
          <w:p w:rsidR="00F15908" w:rsidRPr="007E7C25" w:rsidRDefault="00F15908">
            <w:pPr>
              <w:spacing w:after="0" w:line="240" w:lineRule="auto"/>
              <w:ind w:hanging="15"/>
              <w:jc w:val="center"/>
              <w:rPr>
                <w:rFonts w:ascii="Times New Roman" w:hAnsi="Times New Roman" w:cs="Times New Roman"/>
                <w:b/>
                <w:sz w:val="24"/>
                <w:szCs w:val="24"/>
              </w:rPr>
            </w:pPr>
            <w:r w:rsidRPr="007E7C25">
              <w:rPr>
                <w:rStyle w:val="213pt"/>
                <w:rFonts w:eastAsiaTheme="minorHAnsi"/>
                <w:b/>
                <w:sz w:val="24"/>
                <w:szCs w:val="24"/>
              </w:rPr>
              <w:t>з/п</w:t>
            </w:r>
          </w:p>
        </w:tc>
        <w:tc>
          <w:tcPr>
            <w:tcW w:w="2126" w:type="dxa"/>
            <w:tcBorders>
              <w:top w:val="single" w:sz="4" w:space="0" w:color="auto"/>
              <w:left w:val="single" w:sz="4" w:space="0" w:color="auto"/>
              <w:bottom w:val="nil"/>
              <w:right w:val="nil"/>
            </w:tcBorders>
            <w:shd w:val="clear" w:color="auto" w:fill="FFFFFF"/>
            <w:vAlign w:val="center"/>
            <w:hideMark/>
          </w:tcPr>
          <w:p w:rsidR="00F15908" w:rsidRPr="007E7C25" w:rsidRDefault="00F15908">
            <w:pPr>
              <w:spacing w:after="0" w:line="240" w:lineRule="auto"/>
              <w:jc w:val="center"/>
              <w:rPr>
                <w:rFonts w:ascii="Times New Roman" w:hAnsi="Times New Roman" w:cs="Times New Roman"/>
                <w:b/>
                <w:sz w:val="24"/>
                <w:szCs w:val="24"/>
              </w:rPr>
            </w:pPr>
            <w:r w:rsidRPr="007E7C25">
              <w:rPr>
                <w:rStyle w:val="213pt"/>
                <w:rFonts w:eastAsiaTheme="minorHAnsi"/>
                <w:b/>
                <w:sz w:val="24"/>
                <w:szCs w:val="24"/>
              </w:rPr>
              <w:t>Розмір бюджетного призначення</w:t>
            </w:r>
          </w:p>
        </w:tc>
        <w:tc>
          <w:tcPr>
            <w:tcW w:w="2693" w:type="dxa"/>
            <w:tcBorders>
              <w:top w:val="single" w:sz="4" w:space="0" w:color="auto"/>
              <w:left w:val="single" w:sz="4" w:space="0" w:color="auto"/>
              <w:bottom w:val="nil"/>
              <w:right w:val="nil"/>
            </w:tcBorders>
            <w:shd w:val="clear" w:color="auto" w:fill="FFFFFF"/>
            <w:vAlign w:val="center"/>
            <w:hideMark/>
          </w:tcPr>
          <w:p w:rsidR="00F15908" w:rsidRPr="007E7C25" w:rsidRDefault="00F15908">
            <w:pPr>
              <w:spacing w:after="0" w:line="240" w:lineRule="auto"/>
              <w:jc w:val="center"/>
              <w:rPr>
                <w:rFonts w:ascii="Times New Roman" w:hAnsi="Times New Roman" w:cs="Times New Roman"/>
                <w:b/>
                <w:sz w:val="24"/>
                <w:szCs w:val="24"/>
              </w:rPr>
            </w:pPr>
            <w:r w:rsidRPr="007E7C25">
              <w:rPr>
                <w:rStyle w:val="213pt"/>
                <w:rFonts w:eastAsiaTheme="minorHAnsi"/>
                <w:b/>
                <w:sz w:val="24"/>
                <w:szCs w:val="24"/>
              </w:rPr>
              <w:t>Очікувана вартість предмета закупівлі</w:t>
            </w:r>
          </w:p>
        </w:tc>
        <w:tc>
          <w:tcPr>
            <w:tcW w:w="4962" w:type="dxa"/>
            <w:tcBorders>
              <w:top w:val="single" w:sz="4" w:space="0" w:color="auto"/>
              <w:left w:val="single" w:sz="4" w:space="0" w:color="auto"/>
              <w:bottom w:val="nil"/>
              <w:right w:val="single" w:sz="4" w:space="0" w:color="auto"/>
            </w:tcBorders>
            <w:shd w:val="clear" w:color="auto" w:fill="FFFFFF"/>
            <w:vAlign w:val="center"/>
            <w:hideMark/>
          </w:tcPr>
          <w:p w:rsidR="00F15908" w:rsidRPr="007E7C25" w:rsidRDefault="00F15908">
            <w:pPr>
              <w:spacing w:after="0" w:line="240" w:lineRule="auto"/>
              <w:jc w:val="center"/>
              <w:rPr>
                <w:rFonts w:ascii="Times New Roman" w:hAnsi="Times New Roman" w:cs="Times New Roman"/>
                <w:b/>
                <w:sz w:val="24"/>
                <w:szCs w:val="24"/>
              </w:rPr>
            </w:pPr>
            <w:r w:rsidRPr="007E7C25">
              <w:rPr>
                <w:rStyle w:val="213pt"/>
                <w:rFonts w:eastAsiaTheme="minorHAnsi"/>
                <w:b/>
                <w:sz w:val="24"/>
                <w:szCs w:val="24"/>
              </w:rPr>
              <w:t>Обґрунтування розміру очікуваної вартості</w:t>
            </w:r>
          </w:p>
        </w:tc>
      </w:tr>
      <w:tr w:rsidR="007E7C25" w:rsidRPr="007E7C25" w:rsidTr="007E7C25">
        <w:trPr>
          <w:trHeight w:hRule="exact" w:val="2366"/>
          <w:jc w:val="center"/>
        </w:trPr>
        <w:tc>
          <w:tcPr>
            <w:tcW w:w="420" w:type="dxa"/>
            <w:tcBorders>
              <w:top w:val="single" w:sz="4" w:space="0" w:color="auto"/>
              <w:left w:val="single" w:sz="4" w:space="0" w:color="auto"/>
              <w:bottom w:val="single" w:sz="4" w:space="0" w:color="auto"/>
              <w:right w:val="nil"/>
            </w:tcBorders>
            <w:shd w:val="clear" w:color="auto" w:fill="FFFFFF"/>
            <w:vAlign w:val="center"/>
            <w:hideMark/>
          </w:tcPr>
          <w:p w:rsidR="007E7C25" w:rsidRPr="007E7C25" w:rsidRDefault="007E7C25" w:rsidP="007E7C25">
            <w:pPr>
              <w:spacing w:after="0" w:line="220" w:lineRule="auto"/>
              <w:jc w:val="center"/>
              <w:rPr>
                <w:rStyle w:val="2"/>
                <w:rFonts w:eastAsiaTheme="minorHAnsi"/>
                <w:sz w:val="24"/>
                <w:szCs w:val="24"/>
              </w:rPr>
            </w:pPr>
            <w:r w:rsidRPr="007E7C25">
              <w:rPr>
                <w:rStyle w:val="2"/>
                <w:rFonts w:eastAsiaTheme="minorHAnsi"/>
                <w:sz w:val="24"/>
                <w:szCs w:val="24"/>
              </w:rPr>
              <w:t>1</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rsidR="007E7C25" w:rsidRPr="007E7C25" w:rsidRDefault="007E7C25" w:rsidP="007E7C25">
            <w:pPr>
              <w:pStyle w:val="1"/>
              <w:spacing w:after="0" w:line="240" w:lineRule="auto"/>
              <w:ind w:firstLine="0"/>
              <w:jc w:val="center"/>
              <w:rPr>
                <w:bCs/>
                <w:color w:val="000000"/>
                <w:sz w:val="24"/>
                <w:szCs w:val="24"/>
                <w:highlight w:val="yellow"/>
                <w:lang w:eastAsia="uk-UA"/>
              </w:rPr>
            </w:pPr>
            <w:r w:rsidRPr="007E7C25">
              <w:rPr>
                <w:color w:val="000000"/>
                <w:sz w:val="24"/>
                <w:szCs w:val="24"/>
              </w:rPr>
              <w:t>391 005,97</w:t>
            </w:r>
          </w:p>
        </w:tc>
        <w:tc>
          <w:tcPr>
            <w:tcW w:w="2693" w:type="dxa"/>
            <w:tcBorders>
              <w:top w:val="single" w:sz="4" w:space="0" w:color="auto"/>
              <w:left w:val="single" w:sz="4" w:space="0" w:color="auto"/>
              <w:bottom w:val="single" w:sz="4" w:space="0" w:color="auto"/>
              <w:right w:val="nil"/>
            </w:tcBorders>
            <w:shd w:val="clear" w:color="auto" w:fill="FFFFFF"/>
            <w:vAlign w:val="center"/>
            <w:hideMark/>
          </w:tcPr>
          <w:p w:rsidR="007E7C25" w:rsidRPr="007E7C25" w:rsidRDefault="007E7C25" w:rsidP="007E7C25">
            <w:pPr>
              <w:pStyle w:val="1"/>
              <w:spacing w:after="0" w:line="240" w:lineRule="auto"/>
              <w:ind w:firstLine="0"/>
              <w:jc w:val="center"/>
              <w:rPr>
                <w:bCs/>
                <w:color w:val="000000"/>
                <w:sz w:val="24"/>
                <w:szCs w:val="24"/>
                <w:highlight w:val="yellow"/>
                <w:lang w:eastAsia="uk-UA"/>
              </w:rPr>
            </w:pPr>
            <w:r w:rsidRPr="007E7C25">
              <w:rPr>
                <w:color w:val="000000"/>
                <w:sz w:val="24"/>
                <w:szCs w:val="24"/>
              </w:rPr>
              <w:t>391 005,97</w:t>
            </w:r>
          </w:p>
        </w:tc>
        <w:tc>
          <w:tcPr>
            <w:tcW w:w="49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E7C25" w:rsidRPr="007E7C25" w:rsidRDefault="007E7C25" w:rsidP="007E7C25">
            <w:pPr>
              <w:spacing w:after="0" w:line="240" w:lineRule="auto"/>
              <w:ind w:left="138" w:right="136"/>
              <w:jc w:val="both"/>
              <w:rPr>
                <w:rFonts w:ascii="Times New Roman" w:eastAsia="Times New Roman" w:hAnsi="Times New Roman"/>
                <w:bCs/>
                <w:color w:val="000000"/>
                <w:sz w:val="24"/>
                <w:szCs w:val="24"/>
                <w:lang w:eastAsia="uk-UA"/>
              </w:rPr>
            </w:pPr>
            <w:r w:rsidRPr="007E7C25">
              <w:rPr>
                <w:rFonts w:ascii="Times New Roman" w:hAnsi="Times New Roman"/>
                <w:color w:val="000000"/>
                <w:sz w:val="24"/>
                <w:szCs w:val="24"/>
                <w:lang w:eastAsia="ru-RU"/>
              </w:rPr>
              <w:t>Визначення очікуваної вартості проводилось на підставі даних ринку методом порівняння ринкових цін шляхом аналізу 3-х цінових пропозицій згідно п. 1 «Розрахунок очікуваної вартості товарів/послуг методом порівняння ринкових цін», розділу 3 «Методи визначення очікуваної вартості», наказу Мінекономіки від 18.02.2020 № 275.</w:t>
            </w:r>
          </w:p>
        </w:tc>
      </w:tr>
    </w:tbl>
    <w:p w:rsidR="00641C64" w:rsidRPr="00641C64" w:rsidRDefault="00641C64" w:rsidP="00574375">
      <w:pPr>
        <w:rPr>
          <w:rFonts w:ascii="Times New Roman" w:hAnsi="Times New Roman" w:cs="Times New Roman"/>
        </w:rPr>
      </w:pPr>
      <w:bookmarkStart w:id="3" w:name="_GoBack"/>
      <w:bookmarkEnd w:id="3"/>
    </w:p>
    <w:sectPr w:rsidR="00641C64" w:rsidRPr="00641C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12" w:hanging="180"/>
      </w:pPr>
      <w:rPr>
        <w:rFonts w:ascii="Times New Roman" w:hAnsi="Times New Roman" w:cs="Times New Roman"/>
        <w:b w:val="0"/>
        <w:bCs w:val="0"/>
        <w:w w:val="100"/>
        <w:sz w:val="21"/>
        <w:szCs w:val="21"/>
      </w:rPr>
    </w:lvl>
    <w:lvl w:ilvl="1">
      <w:numFmt w:val="bullet"/>
      <w:lvlText w:val="•"/>
      <w:lvlJc w:val="left"/>
      <w:pPr>
        <w:ind w:left="761" w:hanging="180"/>
      </w:pPr>
    </w:lvl>
    <w:lvl w:ilvl="2">
      <w:numFmt w:val="bullet"/>
      <w:lvlText w:val="•"/>
      <w:lvlJc w:val="left"/>
      <w:pPr>
        <w:ind w:left="1403" w:hanging="180"/>
      </w:pPr>
    </w:lvl>
    <w:lvl w:ilvl="3">
      <w:numFmt w:val="bullet"/>
      <w:lvlText w:val="•"/>
      <w:lvlJc w:val="left"/>
      <w:pPr>
        <w:ind w:left="2045" w:hanging="180"/>
      </w:pPr>
    </w:lvl>
    <w:lvl w:ilvl="4">
      <w:numFmt w:val="bullet"/>
      <w:lvlText w:val="•"/>
      <w:lvlJc w:val="left"/>
      <w:pPr>
        <w:ind w:left="2687" w:hanging="180"/>
      </w:pPr>
    </w:lvl>
    <w:lvl w:ilvl="5">
      <w:numFmt w:val="bullet"/>
      <w:lvlText w:val="•"/>
      <w:lvlJc w:val="left"/>
      <w:pPr>
        <w:ind w:left="3329" w:hanging="180"/>
      </w:pPr>
    </w:lvl>
    <w:lvl w:ilvl="6">
      <w:numFmt w:val="bullet"/>
      <w:lvlText w:val="•"/>
      <w:lvlJc w:val="left"/>
      <w:pPr>
        <w:ind w:left="3971" w:hanging="180"/>
      </w:pPr>
    </w:lvl>
    <w:lvl w:ilvl="7">
      <w:numFmt w:val="bullet"/>
      <w:lvlText w:val="•"/>
      <w:lvlJc w:val="left"/>
      <w:pPr>
        <w:ind w:left="4613" w:hanging="180"/>
      </w:pPr>
    </w:lvl>
    <w:lvl w:ilvl="8">
      <w:numFmt w:val="bullet"/>
      <w:lvlText w:val="•"/>
      <w:lvlJc w:val="left"/>
      <w:pPr>
        <w:ind w:left="5255" w:hanging="180"/>
      </w:pPr>
    </w:lvl>
  </w:abstractNum>
  <w:abstractNum w:abstractNumId="1" w15:restartNumberingAfterBreak="0">
    <w:nsid w:val="03755FBE"/>
    <w:multiLevelType w:val="hybridMultilevel"/>
    <w:tmpl w:val="BAB66706"/>
    <w:lvl w:ilvl="0" w:tplc="C338E492">
      <w:start w:val="1"/>
      <w:numFmt w:val="decimal"/>
      <w:lvlText w:val="%1."/>
      <w:lvlJc w:val="left"/>
      <w:pPr>
        <w:ind w:left="644" w:hanging="360"/>
      </w:pPr>
      <w:rPr>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66E5607"/>
    <w:multiLevelType w:val="hybridMultilevel"/>
    <w:tmpl w:val="6F3E335C"/>
    <w:lvl w:ilvl="0" w:tplc="57E2E60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661B5B"/>
    <w:multiLevelType w:val="hybridMultilevel"/>
    <w:tmpl w:val="1070E784"/>
    <w:lvl w:ilvl="0" w:tplc="BF6AB81E">
      <w:start w:val="9"/>
      <w:numFmt w:val="bullet"/>
      <w:lvlText w:val="-"/>
      <w:lvlJc w:val="left"/>
      <w:pPr>
        <w:ind w:left="420" w:hanging="360"/>
      </w:pPr>
      <w:rPr>
        <w:rFonts w:ascii="Times New Roman" w:eastAsia="Times New Roman" w:hAnsi="Times New Roman" w:cs="Times New Roman" w:hint="default"/>
      </w:rPr>
    </w:lvl>
    <w:lvl w:ilvl="1" w:tplc="20000003">
      <w:start w:val="1"/>
      <w:numFmt w:val="bullet"/>
      <w:lvlText w:val="o"/>
      <w:lvlJc w:val="left"/>
      <w:pPr>
        <w:ind w:left="1140" w:hanging="360"/>
      </w:pPr>
      <w:rPr>
        <w:rFonts w:ascii="Courier New" w:hAnsi="Courier New" w:cs="Courier New" w:hint="default"/>
      </w:rPr>
    </w:lvl>
    <w:lvl w:ilvl="2" w:tplc="20000005">
      <w:start w:val="1"/>
      <w:numFmt w:val="bullet"/>
      <w:lvlText w:val=""/>
      <w:lvlJc w:val="left"/>
      <w:pPr>
        <w:ind w:left="1860" w:hanging="360"/>
      </w:pPr>
      <w:rPr>
        <w:rFonts w:ascii="Wingdings" w:hAnsi="Wingdings" w:hint="default"/>
      </w:rPr>
    </w:lvl>
    <w:lvl w:ilvl="3" w:tplc="20000001">
      <w:start w:val="1"/>
      <w:numFmt w:val="bullet"/>
      <w:lvlText w:val=""/>
      <w:lvlJc w:val="left"/>
      <w:pPr>
        <w:ind w:left="2580" w:hanging="360"/>
      </w:pPr>
      <w:rPr>
        <w:rFonts w:ascii="Symbol" w:hAnsi="Symbol" w:hint="default"/>
      </w:rPr>
    </w:lvl>
    <w:lvl w:ilvl="4" w:tplc="20000003">
      <w:start w:val="1"/>
      <w:numFmt w:val="bullet"/>
      <w:lvlText w:val="o"/>
      <w:lvlJc w:val="left"/>
      <w:pPr>
        <w:ind w:left="3300" w:hanging="360"/>
      </w:pPr>
      <w:rPr>
        <w:rFonts w:ascii="Courier New" w:hAnsi="Courier New" w:cs="Courier New" w:hint="default"/>
      </w:rPr>
    </w:lvl>
    <w:lvl w:ilvl="5" w:tplc="20000005">
      <w:start w:val="1"/>
      <w:numFmt w:val="bullet"/>
      <w:lvlText w:val=""/>
      <w:lvlJc w:val="left"/>
      <w:pPr>
        <w:ind w:left="4020" w:hanging="360"/>
      </w:pPr>
      <w:rPr>
        <w:rFonts w:ascii="Wingdings" w:hAnsi="Wingdings" w:hint="default"/>
      </w:rPr>
    </w:lvl>
    <w:lvl w:ilvl="6" w:tplc="20000001">
      <w:start w:val="1"/>
      <w:numFmt w:val="bullet"/>
      <w:lvlText w:val=""/>
      <w:lvlJc w:val="left"/>
      <w:pPr>
        <w:ind w:left="4740" w:hanging="360"/>
      </w:pPr>
      <w:rPr>
        <w:rFonts w:ascii="Symbol" w:hAnsi="Symbol" w:hint="default"/>
      </w:rPr>
    </w:lvl>
    <w:lvl w:ilvl="7" w:tplc="20000003">
      <w:start w:val="1"/>
      <w:numFmt w:val="bullet"/>
      <w:lvlText w:val="o"/>
      <w:lvlJc w:val="left"/>
      <w:pPr>
        <w:ind w:left="5460" w:hanging="360"/>
      </w:pPr>
      <w:rPr>
        <w:rFonts w:ascii="Courier New" w:hAnsi="Courier New" w:cs="Courier New" w:hint="default"/>
      </w:rPr>
    </w:lvl>
    <w:lvl w:ilvl="8" w:tplc="20000005">
      <w:start w:val="1"/>
      <w:numFmt w:val="bullet"/>
      <w:lvlText w:val=""/>
      <w:lvlJc w:val="left"/>
      <w:pPr>
        <w:ind w:left="6180" w:hanging="360"/>
      </w:pPr>
      <w:rPr>
        <w:rFonts w:ascii="Wingdings" w:hAnsi="Wingdings" w:hint="default"/>
      </w:rPr>
    </w:lvl>
  </w:abstractNum>
  <w:abstractNum w:abstractNumId="4" w15:restartNumberingAfterBreak="0">
    <w:nsid w:val="10B21DA8"/>
    <w:multiLevelType w:val="hybridMultilevel"/>
    <w:tmpl w:val="42841E04"/>
    <w:lvl w:ilvl="0" w:tplc="EDBE5676">
      <w:start w:val="1"/>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456AF"/>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2E6581"/>
    <w:multiLevelType w:val="hybridMultilevel"/>
    <w:tmpl w:val="3CE0B138"/>
    <w:lvl w:ilvl="0" w:tplc="C912524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A0B96"/>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540A8B"/>
    <w:multiLevelType w:val="hybridMultilevel"/>
    <w:tmpl w:val="672222F2"/>
    <w:lvl w:ilvl="0" w:tplc="6E2E5AC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5F3C2A"/>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CC040F"/>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704F2C"/>
    <w:multiLevelType w:val="hybridMultilevel"/>
    <w:tmpl w:val="3B964994"/>
    <w:lvl w:ilvl="0" w:tplc="8978440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932E21"/>
    <w:multiLevelType w:val="multilevel"/>
    <w:tmpl w:val="B8CCE20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4A1AC6"/>
    <w:multiLevelType w:val="hybridMultilevel"/>
    <w:tmpl w:val="2CFC23D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4C326B20"/>
    <w:multiLevelType w:val="hybridMultilevel"/>
    <w:tmpl w:val="288857FC"/>
    <w:lvl w:ilvl="0" w:tplc="619C0AEA">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F4053"/>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FE61CB"/>
    <w:multiLevelType w:val="hybridMultilevel"/>
    <w:tmpl w:val="255825AE"/>
    <w:lvl w:ilvl="0" w:tplc="A5F8BF9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677EBE"/>
    <w:multiLevelType w:val="hybridMultilevel"/>
    <w:tmpl w:val="95EE42E4"/>
    <w:lvl w:ilvl="0" w:tplc="9FE0ED5C">
      <w:start w:val="1"/>
      <w:numFmt w:val="decimal"/>
      <w:lvlText w:val="%1."/>
      <w:lvlJc w:val="left"/>
      <w:pPr>
        <w:ind w:left="644" w:hanging="360"/>
      </w:pPr>
      <w:rPr>
        <w:sz w:val="26"/>
        <w:szCs w:val="26"/>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6A2C6972"/>
    <w:multiLevelType w:val="hybridMultilevel"/>
    <w:tmpl w:val="327C1F54"/>
    <w:lvl w:ilvl="0" w:tplc="020AAE8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
  </w:num>
  <w:num w:numId="4">
    <w:abstractNumId w:val="0"/>
  </w:num>
  <w:num w:numId="5">
    <w:abstractNumId w:val="1"/>
  </w:num>
  <w:num w:numId="6">
    <w:abstractNumId w:val="5"/>
  </w:num>
  <w:num w:numId="7">
    <w:abstractNumId w:val="10"/>
  </w:num>
  <w:num w:numId="8">
    <w:abstractNumId w:val="9"/>
  </w:num>
  <w:num w:numId="9">
    <w:abstractNumId w:val="15"/>
  </w:num>
  <w:num w:numId="10">
    <w:abstractNumId w:val="14"/>
  </w:num>
  <w:num w:numId="11">
    <w:abstractNumId w:val="11"/>
  </w:num>
  <w:num w:numId="12">
    <w:abstractNumId w:val="18"/>
  </w:num>
  <w:num w:numId="13">
    <w:abstractNumId w:val="7"/>
  </w:num>
  <w:num w:numId="14">
    <w:abstractNumId w:val="4"/>
  </w:num>
  <w:num w:numId="15">
    <w:abstractNumId w:val="16"/>
  </w:num>
  <w:num w:numId="16">
    <w:abstractNumId w:val="2"/>
  </w:num>
  <w:num w:numId="17">
    <w:abstractNumId w:val="6"/>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08"/>
    <w:rsid w:val="0009411E"/>
    <w:rsid w:val="0023226A"/>
    <w:rsid w:val="002B4BC3"/>
    <w:rsid w:val="002E473D"/>
    <w:rsid w:val="00504EC0"/>
    <w:rsid w:val="00562F39"/>
    <w:rsid w:val="00574375"/>
    <w:rsid w:val="00594FDC"/>
    <w:rsid w:val="005C5C7D"/>
    <w:rsid w:val="00641C64"/>
    <w:rsid w:val="006A4D75"/>
    <w:rsid w:val="00723EFE"/>
    <w:rsid w:val="00725DB5"/>
    <w:rsid w:val="007E73A2"/>
    <w:rsid w:val="007E7C25"/>
    <w:rsid w:val="008A6CAB"/>
    <w:rsid w:val="008B7FD8"/>
    <w:rsid w:val="008E2226"/>
    <w:rsid w:val="00CB3DEE"/>
    <w:rsid w:val="00CC6105"/>
    <w:rsid w:val="00E21460"/>
    <w:rsid w:val="00F145FD"/>
    <w:rsid w:val="00F15908"/>
    <w:rsid w:val="00F744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5D86"/>
  <w15:chartTrackingRefBased/>
  <w15:docId w15:val="{F9BDA8BE-73C1-4263-8667-F7965462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90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5908"/>
    <w:pPr>
      <w:spacing w:after="0" w:line="240" w:lineRule="auto"/>
    </w:pPr>
  </w:style>
  <w:style w:type="character" w:customStyle="1" w:styleId="a4">
    <w:name w:val="Звичайний (веб) Знак"/>
    <w:aliases w:val="Обычный (Web)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5"/>
    <w:uiPriority w:val="99"/>
    <w:semiHidden/>
    <w:locked/>
    <w:rsid w:val="00F15908"/>
    <w:rPr>
      <w:rFonts w:ascii="Times New Roman" w:eastAsia="Times New Roman" w:hAnsi="Times New Roman" w:cs="Times New Roman"/>
      <w:szCs w:val="24"/>
      <w:lang w:val="ru-RU" w:eastAsia="ru-RU"/>
    </w:rPr>
  </w:style>
  <w:style w:type="paragraph" w:styleId="a5">
    <w:name w:val="Normal (Web)"/>
    <w:aliases w:val="Обычный (Web),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17,Зна,Обычный (веб) Знак1,Знак"/>
    <w:basedOn w:val="a"/>
    <w:link w:val="a4"/>
    <w:uiPriority w:val="99"/>
    <w:semiHidden/>
    <w:unhideWhenUsed/>
    <w:qFormat/>
    <w:rsid w:val="00F15908"/>
    <w:pPr>
      <w:spacing w:before="100" w:beforeAutospacing="1" w:after="100" w:afterAutospacing="1" w:line="240" w:lineRule="auto"/>
    </w:pPr>
    <w:rPr>
      <w:rFonts w:ascii="Times New Roman" w:eastAsia="Times New Roman" w:hAnsi="Times New Roman" w:cs="Times New Roman"/>
      <w:szCs w:val="24"/>
      <w:lang w:val="ru-RU" w:eastAsia="ru-RU"/>
    </w:rPr>
  </w:style>
  <w:style w:type="character" w:customStyle="1" w:styleId="a6">
    <w:name w:val="Основной текст_"/>
    <w:basedOn w:val="a0"/>
    <w:link w:val="1"/>
    <w:locked/>
    <w:rsid w:val="00F15908"/>
    <w:rPr>
      <w:rFonts w:ascii="Times New Roman" w:eastAsia="Times New Roman" w:hAnsi="Times New Roman" w:cs="Times New Roman"/>
      <w:sz w:val="26"/>
      <w:szCs w:val="26"/>
    </w:rPr>
  </w:style>
  <w:style w:type="paragraph" w:customStyle="1" w:styleId="1">
    <w:name w:val="Основной текст1"/>
    <w:basedOn w:val="a"/>
    <w:link w:val="a6"/>
    <w:qFormat/>
    <w:rsid w:val="00F15908"/>
    <w:pPr>
      <w:widowControl w:val="0"/>
      <w:spacing w:after="560" w:line="276" w:lineRule="auto"/>
      <w:ind w:firstLine="400"/>
    </w:pPr>
    <w:rPr>
      <w:rFonts w:ascii="Times New Roman" w:eastAsia="Times New Roman" w:hAnsi="Times New Roman" w:cs="Times New Roman"/>
      <w:sz w:val="26"/>
      <w:szCs w:val="26"/>
    </w:rPr>
  </w:style>
  <w:style w:type="character" w:customStyle="1" w:styleId="rvts37">
    <w:name w:val="rvts37"/>
    <w:basedOn w:val="a0"/>
    <w:rsid w:val="00F15908"/>
  </w:style>
  <w:style w:type="character" w:customStyle="1" w:styleId="rvts80">
    <w:name w:val="rvts80"/>
    <w:basedOn w:val="a0"/>
    <w:rsid w:val="00F15908"/>
  </w:style>
  <w:style w:type="character" w:customStyle="1" w:styleId="510pt">
    <w:name w:val="Основной текст (5) + 10 pt"/>
    <w:aliases w:val="Не полужирный"/>
    <w:basedOn w:val="a0"/>
    <w:rsid w:val="00F15908"/>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rPr>
  </w:style>
  <w:style w:type="character" w:customStyle="1" w:styleId="213pt">
    <w:name w:val="Основной текст (2) + 13 pt"/>
    <w:basedOn w:val="a0"/>
    <w:rsid w:val="00F1590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eastAsia="uk-UA" w:bidi="uk-UA"/>
    </w:rPr>
  </w:style>
  <w:style w:type="character" w:customStyle="1" w:styleId="2">
    <w:name w:val="Основной текст (2)"/>
    <w:basedOn w:val="a0"/>
    <w:rsid w:val="00F1590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uk-UA" w:eastAsia="uk-UA" w:bidi="uk-UA"/>
    </w:rPr>
  </w:style>
  <w:style w:type="table" w:styleId="a7">
    <w:name w:val="Table Grid"/>
    <w:basedOn w:val="a1"/>
    <w:uiPriority w:val="39"/>
    <w:rsid w:val="00F159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641C64"/>
    <w:rPr>
      <w:color w:val="0066CC"/>
      <w:u w:val="single"/>
    </w:rPr>
  </w:style>
  <w:style w:type="character" w:customStyle="1" w:styleId="3">
    <w:name w:val="Основной текст (3)_"/>
    <w:basedOn w:val="a0"/>
    <w:link w:val="30"/>
    <w:rsid w:val="00641C64"/>
    <w:rPr>
      <w:rFonts w:ascii="Times New Roman" w:eastAsia="Times New Roman" w:hAnsi="Times New Roman" w:cs="Times New Roman"/>
      <w:sz w:val="28"/>
      <w:szCs w:val="28"/>
      <w:shd w:val="clear" w:color="auto" w:fill="FFFFFF"/>
    </w:rPr>
  </w:style>
  <w:style w:type="character" w:customStyle="1" w:styleId="20">
    <w:name w:val="Заголовок №2_"/>
    <w:basedOn w:val="a0"/>
    <w:link w:val="21"/>
    <w:rsid w:val="00641C64"/>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641C64"/>
    <w:rPr>
      <w:rFonts w:ascii="Times New Roman" w:eastAsia="Times New Roman" w:hAnsi="Times New Roman" w:cs="Times New Roman"/>
      <w:b/>
      <w:bCs/>
      <w:sz w:val="28"/>
      <w:szCs w:val="28"/>
      <w:shd w:val="clear" w:color="auto" w:fill="FFFFFF"/>
    </w:rPr>
  </w:style>
  <w:style w:type="character" w:customStyle="1" w:styleId="10">
    <w:name w:val="Заголовок №1_"/>
    <w:basedOn w:val="a0"/>
    <w:link w:val="11"/>
    <w:rsid w:val="00641C64"/>
    <w:rPr>
      <w:rFonts w:ascii="Impact" w:eastAsia="Impact" w:hAnsi="Impact" w:cs="Impact"/>
      <w:sz w:val="28"/>
      <w:szCs w:val="28"/>
      <w:shd w:val="clear" w:color="auto" w:fill="FFFFFF"/>
    </w:rPr>
  </w:style>
  <w:style w:type="character" w:customStyle="1" w:styleId="1TimesNewRoman10pt">
    <w:name w:val="Заголовок №1 + Times New Roman;10 pt"/>
    <w:basedOn w:val="10"/>
    <w:rsid w:val="00641C64"/>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22">
    <w:name w:val="Основной текст (2)_"/>
    <w:basedOn w:val="a0"/>
    <w:rsid w:val="00641C64"/>
    <w:rPr>
      <w:rFonts w:ascii="Times New Roman" w:eastAsia="Times New Roman" w:hAnsi="Times New Roman" w:cs="Times New Roman"/>
      <w:b w:val="0"/>
      <w:bCs w:val="0"/>
      <w:i w:val="0"/>
      <w:iCs w:val="0"/>
      <w:smallCaps w:val="0"/>
      <w:strike w:val="0"/>
      <w:sz w:val="19"/>
      <w:szCs w:val="19"/>
      <w:u w:val="none"/>
    </w:rPr>
  </w:style>
  <w:style w:type="character" w:customStyle="1" w:styleId="5">
    <w:name w:val="Основной текст (5)_"/>
    <w:basedOn w:val="a0"/>
    <w:link w:val="50"/>
    <w:rsid w:val="00641C64"/>
    <w:rPr>
      <w:rFonts w:ascii="Impact" w:eastAsia="Impact" w:hAnsi="Impact" w:cs="Impact"/>
      <w:sz w:val="23"/>
      <w:szCs w:val="23"/>
      <w:shd w:val="clear" w:color="auto" w:fill="FFFFFF"/>
    </w:rPr>
  </w:style>
  <w:style w:type="character" w:customStyle="1" w:styleId="5TrebuchetMS12pt">
    <w:name w:val="Основной текст (5) + Trebuchet MS;12 pt"/>
    <w:basedOn w:val="5"/>
    <w:rsid w:val="00641C64"/>
    <w:rPr>
      <w:rFonts w:ascii="Trebuchet MS" w:eastAsia="Trebuchet MS" w:hAnsi="Trebuchet MS" w:cs="Trebuchet MS"/>
      <w:color w:val="000000"/>
      <w:spacing w:val="0"/>
      <w:w w:val="100"/>
      <w:position w:val="0"/>
      <w:sz w:val="24"/>
      <w:szCs w:val="24"/>
      <w:shd w:val="clear" w:color="auto" w:fill="FFFFFF"/>
      <w:lang w:val="uk-UA" w:eastAsia="uk-UA" w:bidi="uk-UA"/>
    </w:rPr>
  </w:style>
  <w:style w:type="character" w:customStyle="1" w:styleId="214pt">
    <w:name w:val="Основной текст (2) + 14 pt"/>
    <w:basedOn w:val="22"/>
    <w:rsid w:val="00641C6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12">
    <w:name w:val="Заголовок №1 (2)_"/>
    <w:basedOn w:val="a0"/>
    <w:link w:val="120"/>
    <w:rsid w:val="00641C64"/>
    <w:rPr>
      <w:rFonts w:ascii="Impact" w:eastAsia="Impact" w:hAnsi="Impact" w:cs="Impact"/>
      <w:sz w:val="30"/>
      <w:szCs w:val="30"/>
      <w:shd w:val="clear" w:color="auto" w:fill="FFFFFF"/>
    </w:rPr>
  </w:style>
  <w:style w:type="character" w:customStyle="1" w:styleId="12TimesNewRoman10pt">
    <w:name w:val="Заголовок №1 (2) + Times New Roman;10 pt"/>
    <w:basedOn w:val="12"/>
    <w:rsid w:val="00641C64"/>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a9">
    <w:name w:val="Подпись к таблице_"/>
    <w:basedOn w:val="a0"/>
    <w:link w:val="aa"/>
    <w:rsid w:val="00641C64"/>
    <w:rPr>
      <w:rFonts w:ascii="Times New Roman" w:eastAsia="Times New Roman" w:hAnsi="Times New Roman" w:cs="Times New Roman"/>
      <w:sz w:val="19"/>
      <w:szCs w:val="19"/>
      <w:shd w:val="clear" w:color="auto" w:fill="FFFFFF"/>
    </w:rPr>
  </w:style>
  <w:style w:type="paragraph" w:customStyle="1" w:styleId="30">
    <w:name w:val="Основной текст (3)"/>
    <w:basedOn w:val="a"/>
    <w:link w:val="3"/>
    <w:rsid w:val="00641C64"/>
    <w:pPr>
      <w:widowControl w:val="0"/>
      <w:shd w:val="clear" w:color="auto" w:fill="FFFFFF"/>
      <w:spacing w:after="0" w:line="322" w:lineRule="exact"/>
    </w:pPr>
    <w:rPr>
      <w:rFonts w:ascii="Times New Roman" w:eastAsia="Times New Roman" w:hAnsi="Times New Roman" w:cs="Times New Roman"/>
      <w:sz w:val="28"/>
      <w:szCs w:val="28"/>
    </w:rPr>
  </w:style>
  <w:style w:type="paragraph" w:customStyle="1" w:styleId="21">
    <w:name w:val="Заголовок №2"/>
    <w:basedOn w:val="a"/>
    <w:link w:val="20"/>
    <w:rsid w:val="00641C64"/>
    <w:pPr>
      <w:widowControl w:val="0"/>
      <w:shd w:val="clear" w:color="auto" w:fill="FFFFFF"/>
      <w:spacing w:before="660" w:after="0" w:line="322" w:lineRule="exact"/>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rsid w:val="00641C64"/>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paragraph" w:customStyle="1" w:styleId="11">
    <w:name w:val="Заголовок №1"/>
    <w:basedOn w:val="a"/>
    <w:link w:val="10"/>
    <w:rsid w:val="00641C64"/>
    <w:pPr>
      <w:widowControl w:val="0"/>
      <w:shd w:val="clear" w:color="auto" w:fill="FFFFFF"/>
      <w:spacing w:after="0" w:line="0" w:lineRule="atLeast"/>
      <w:jc w:val="both"/>
      <w:outlineLvl w:val="0"/>
    </w:pPr>
    <w:rPr>
      <w:rFonts w:ascii="Impact" w:eastAsia="Impact" w:hAnsi="Impact" w:cs="Impact"/>
      <w:sz w:val="28"/>
      <w:szCs w:val="28"/>
    </w:rPr>
  </w:style>
  <w:style w:type="paragraph" w:customStyle="1" w:styleId="50">
    <w:name w:val="Основной текст (5)"/>
    <w:basedOn w:val="a"/>
    <w:link w:val="5"/>
    <w:rsid w:val="00641C64"/>
    <w:pPr>
      <w:widowControl w:val="0"/>
      <w:shd w:val="clear" w:color="auto" w:fill="FFFFFF"/>
      <w:spacing w:after="0" w:line="326" w:lineRule="exact"/>
      <w:jc w:val="both"/>
    </w:pPr>
    <w:rPr>
      <w:rFonts w:ascii="Impact" w:eastAsia="Impact" w:hAnsi="Impact" w:cs="Impact"/>
      <w:sz w:val="23"/>
      <w:szCs w:val="23"/>
    </w:rPr>
  </w:style>
  <w:style w:type="paragraph" w:customStyle="1" w:styleId="120">
    <w:name w:val="Заголовок №1 (2)"/>
    <w:basedOn w:val="a"/>
    <w:link w:val="12"/>
    <w:rsid w:val="00641C64"/>
    <w:pPr>
      <w:widowControl w:val="0"/>
      <w:shd w:val="clear" w:color="auto" w:fill="FFFFFF"/>
      <w:spacing w:after="0" w:line="0" w:lineRule="atLeast"/>
      <w:jc w:val="both"/>
      <w:outlineLvl w:val="0"/>
    </w:pPr>
    <w:rPr>
      <w:rFonts w:ascii="Impact" w:eastAsia="Impact" w:hAnsi="Impact" w:cs="Impact"/>
      <w:sz w:val="30"/>
      <w:szCs w:val="30"/>
    </w:rPr>
  </w:style>
  <w:style w:type="paragraph" w:customStyle="1" w:styleId="aa">
    <w:name w:val="Подпись к таблице"/>
    <w:basedOn w:val="a"/>
    <w:link w:val="a9"/>
    <w:rsid w:val="00641C64"/>
    <w:pPr>
      <w:widowControl w:val="0"/>
      <w:shd w:val="clear" w:color="auto" w:fill="FFFFFF"/>
      <w:spacing w:after="0" w:line="0" w:lineRule="atLeast"/>
    </w:pPr>
    <w:rPr>
      <w:rFonts w:ascii="Times New Roman" w:eastAsia="Times New Roman" w:hAnsi="Times New Roman" w:cs="Times New Roman"/>
      <w:sz w:val="19"/>
      <w:szCs w:val="19"/>
    </w:rPr>
  </w:style>
  <w:style w:type="paragraph" w:styleId="ab">
    <w:name w:val="Balloon Text"/>
    <w:basedOn w:val="a"/>
    <w:link w:val="ac"/>
    <w:uiPriority w:val="99"/>
    <w:semiHidden/>
    <w:unhideWhenUsed/>
    <w:rsid w:val="00641C64"/>
    <w:pPr>
      <w:widowControl w:val="0"/>
      <w:spacing w:after="0" w:line="240" w:lineRule="auto"/>
    </w:pPr>
    <w:rPr>
      <w:rFonts w:ascii="Segoe UI" w:eastAsia="Arial Unicode MS" w:hAnsi="Segoe UI" w:cs="Segoe UI"/>
      <w:color w:val="000000"/>
      <w:sz w:val="18"/>
      <w:szCs w:val="18"/>
      <w:lang w:eastAsia="uk-UA" w:bidi="uk-UA"/>
    </w:rPr>
  </w:style>
  <w:style w:type="character" w:customStyle="1" w:styleId="ac">
    <w:name w:val="Текст у виносці Знак"/>
    <w:basedOn w:val="a0"/>
    <w:link w:val="ab"/>
    <w:uiPriority w:val="99"/>
    <w:semiHidden/>
    <w:rsid w:val="00641C64"/>
    <w:rPr>
      <w:rFonts w:ascii="Segoe UI" w:eastAsia="Arial Unicode MS" w:hAnsi="Segoe UI" w:cs="Segoe UI"/>
      <w:color w:val="000000"/>
      <w:sz w:val="18"/>
      <w:szCs w:val="18"/>
      <w:lang w:eastAsia="uk-UA" w:bidi="uk-UA"/>
    </w:rPr>
  </w:style>
  <w:style w:type="paragraph" w:styleId="ad">
    <w:name w:val="List Paragraph"/>
    <w:basedOn w:val="a"/>
    <w:uiPriority w:val="34"/>
    <w:qFormat/>
    <w:rsid w:val="00641C64"/>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e">
    <w:name w:val="header"/>
    <w:basedOn w:val="a"/>
    <w:link w:val="af"/>
    <w:uiPriority w:val="99"/>
    <w:unhideWhenUsed/>
    <w:rsid w:val="00641C6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uk-UA" w:bidi="uk-UA"/>
    </w:rPr>
  </w:style>
  <w:style w:type="character" w:customStyle="1" w:styleId="af">
    <w:name w:val="Верхній колонтитул Знак"/>
    <w:basedOn w:val="a0"/>
    <w:link w:val="ae"/>
    <w:uiPriority w:val="99"/>
    <w:rsid w:val="00641C64"/>
    <w:rPr>
      <w:rFonts w:ascii="Arial Unicode MS" w:eastAsia="Arial Unicode MS" w:hAnsi="Arial Unicode MS" w:cs="Arial Unicode MS"/>
      <w:color w:val="000000"/>
      <w:sz w:val="24"/>
      <w:szCs w:val="24"/>
      <w:lang w:eastAsia="uk-UA" w:bidi="uk-UA"/>
    </w:rPr>
  </w:style>
  <w:style w:type="paragraph" w:styleId="af0">
    <w:name w:val="footer"/>
    <w:basedOn w:val="a"/>
    <w:link w:val="af1"/>
    <w:uiPriority w:val="99"/>
    <w:unhideWhenUsed/>
    <w:rsid w:val="00641C6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uk-UA" w:bidi="uk-UA"/>
    </w:rPr>
  </w:style>
  <w:style w:type="character" w:customStyle="1" w:styleId="af1">
    <w:name w:val="Нижній колонтитул Знак"/>
    <w:basedOn w:val="a0"/>
    <w:link w:val="af0"/>
    <w:uiPriority w:val="99"/>
    <w:rsid w:val="00641C64"/>
    <w:rPr>
      <w:rFonts w:ascii="Arial Unicode MS" w:eastAsia="Arial Unicode MS" w:hAnsi="Arial Unicode MS" w:cs="Arial Unicode MS"/>
      <w:color w:val="000000"/>
      <w:sz w:val="24"/>
      <w:szCs w:val="24"/>
      <w:lang w:eastAsia="uk-UA" w:bidi="uk-UA"/>
    </w:rPr>
  </w:style>
  <w:style w:type="table" w:customStyle="1" w:styleId="13">
    <w:name w:val="Сетка таблицы1"/>
    <w:basedOn w:val="a1"/>
    <w:next w:val="a7"/>
    <w:uiPriority w:val="39"/>
    <w:rsid w:val="00641C6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39"/>
    <w:rsid w:val="00641C6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 + Полужирный"/>
    <w:rsid w:val="00641C64"/>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6814</Words>
  <Characters>3884</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Ніконова Каріне Аршаківна</dc:creator>
  <cp:keywords/>
  <dc:description/>
  <cp:lastModifiedBy>Ніконова Каріне Аршаківна</cp:lastModifiedBy>
  <cp:revision>3</cp:revision>
  <dcterms:created xsi:type="dcterms:W3CDTF">2025-11-24T13:21:00Z</dcterms:created>
  <dcterms:modified xsi:type="dcterms:W3CDTF">2025-11-24T13:26:00Z</dcterms:modified>
</cp:coreProperties>
</file>